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339F" w14:textId="55C7DD58" w:rsidR="006A370F" w:rsidRPr="007A526F" w:rsidRDefault="007A526F" w:rsidP="007A526F">
      <w:pPr>
        <w:shd w:val="clear" w:color="auto" w:fill="1F4E79"/>
        <w:spacing w:after="80"/>
        <w:jc w:val="both"/>
        <w:rPr>
          <w:lang w:val="es-ES"/>
        </w:rPr>
      </w:pPr>
      <w:r>
        <w:rPr>
          <w:b/>
          <w:color w:val="FFFFFF"/>
          <w:sz w:val="18"/>
          <w:lang w:val="es-ES"/>
        </w:rPr>
        <w:t>Escuela de Informática y Telecomunicaciones UDP</w:t>
      </w:r>
    </w:p>
    <w:p w14:paraId="7E271B92" w14:textId="47E4F104" w:rsidR="006A370F" w:rsidRPr="007A526F" w:rsidRDefault="00000000" w:rsidP="007A526F">
      <w:pPr>
        <w:pStyle w:val="Title"/>
        <w:jc w:val="both"/>
        <w:rPr>
          <w:lang w:val="es-ES"/>
        </w:rPr>
      </w:pPr>
      <w:r w:rsidRPr="007A526F">
        <w:rPr>
          <w:b/>
          <w:color w:val="1F4E79"/>
          <w:sz w:val="36"/>
          <w:lang w:val="es-ES"/>
        </w:rPr>
        <w:t xml:space="preserve">Franquicia Tributaria SENCE: por qué reformarla y no eliminarla en la </w:t>
      </w:r>
      <w:r w:rsidR="00F92F90">
        <w:rPr>
          <w:b/>
          <w:color w:val="1F4E79"/>
          <w:sz w:val="36"/>
          <w:lang w:val="es-ES"/>
        </w:rPr>
        <w:t xml:space="preserve">era de la </w:t>
      </w:r>
      <w:r w:rsidRPr="007A526F">
        <w:rPr>
          <w:b/>
          <w:color w:val="1F4E79"/>
          <w:sz w:val="36"/>
          <w:lang w:val="es-ES"/>
        </w:rPr>
        <w:t>transición digital e inteligencia artificial</w:t>
      </w:r>
    </w:p>
    <w:p w14:paraId="3D59B4D0" w14:textId="77777777" w:rsidR="006A370F" w:rsidRPr="007A526F" w:rsidRDefault="00000000" w:rsidP="007A526F">
      <w:pPr>
        <w:pStyle w:val="Subtitle"/>
        <w:spacing w:after="160"/>
        <w:jc w:val="both"/>
        <w:rPr>
          <w:lang w:val="es-ES"/>
        </w:rPr>
      </w:pPr>
      <w:r w:rsidRPr="007A526F">
        <w:rPr>
          <w:sz w:val="20"/>
          <w:lang w:val="es-ES"/>
        </w:rPr>
        <w:t>Abril de 2026 · Documento de análisis basado en fuentes OCDE, Unión Europea, Banco Mundial, SENCE, DIPRES y prensa económica chilena</w:t>
      </w:r>
    </w:p>
    <w:tbl>
      <w:tblPr>
        <w:tblW w:w="0" w:type="auto"/>
        <w:jc w:val="center"/>
        <w:tblLook w:val="04A0" w:firstRow="1" w:lastRow="0" w:firstColumn="1" w:lastColumn="0" w:noHBand="0" w:noVBand="1"/>
      </w:tblPr>
      <w:tblGrid>
        <w:gridCol w:w="9632"/>
      </w:tblGrid>
      <w:tr w:rsidR="006A370F" w:rsidRPr="00F92F90" w14:paraId="0EE7392F" w14:textId="77777777">
        <w:trPr>
          <w:jc w:val="center"/>
        </w:trPr>
        <w:tc>
          <w:tcPr>
            <w:tcW w:w="9632" w:type="dxa"/>
            <w:shd w:val="clear" w:color="auto" w:fill="EAF2F8"/>
            <w:tcMar>
              <w:top w:w="100" w:type="dxa"/>
              <w:left w:w="120" w:type="dxa"/>
              <w:bottom w:w="100" w:type="dxa"/>
              <w:right w:w="120" w:type="dxa"/>
            </w:tcMar>
            <w:vAlign w:val="center"/>
          </w:tcPr>
          <w:p w14:paraId="357A644F" w14:textId="77777777" w:rsidR="006A370F" w:rsidRPr="007A526F" w:rsidRDefault="00000000" w:rsidP="007A526F">
            <w:pPr>
              <w:spacing w:after="0"/>
              <w:jc w:val="both"/>
              <w:rPr>
                <w:lang w:val="es-ES"/>
              </w:rPr>
            </w:pPr>
            <w:r w:rsidRPr="007A526F">
              <w:rPr>
                <w:b/>
                <w:color w:val="1F4E79"/>
                <w:sz w:val="22"/>
                <w:lang w:val="es-ES"/>
              </w:rPr>
              <w:t>Resumen ejecutivo</w:t>
            </w:r>
          </w:p>
          <w:p w14:paraId="3366EEE3" w14:textId="6F871D19" w:rsidR="006A370F" w:rsidRPr="007A526F" w:rsidRDefault="00000000" w:rsidP="007A526F">
            <w:pPr>
              <w:spacing w:after="0" w:line="269" w:lineRule="auto"/>
              <w:jc w:val="both"/>
              <w:rPr>
                <w:lang w:val="es-ES"/>
              </w:rPr>
            </w:pPr>
            <w:r w:rsidRPr="007A526F">
              <w:rPr>
                <w:lang w:val="es-ES"/>
              </w:rPr>
              <w:t xml:space="preserve">Eliminar la franquicia tributaria del SENCE como medida de ahorro fiscal sería una respuesta desproporcionada a fallas reales, pero corregibles, de diseño y focalización. La evidencia disponible sugiere un cuadro más matizado. La Evaluación de Impacto Franquicia Tributaria de la Dirección de Presupuestos (DIPRES, 2025) muestra que el instrumento tuvo efectos positivos sobre la probabilidad de capacitación en 2018 y 2019 </w:t>
            </w:r>
            <w:r w:rsidR="007A526F" w:rsidRPr="007A526F">
              <w:rPr>
                <w:lang w:val="es-ES"/>
              </w:rPr>
              <w:t>-</w:t>
            </w:r>
            <w:r w:rsidRPr="007A526F">
              <w:rPr>
                <w:lang w:val="es-ES"/>
              </w:rPr>
              <w:t>de 12,7% y 17,2% en el umbral de 25 UTM</w:t>
            </w:r>
            <w:r w:rsidR="007A526F">
              <w:rPr>
                <w:lang w:val="es-ES"/>
              </w:rPr>
              <w:t>-</w:t>
            </w:r>
            <w:r w:rsidRPr="007A526F">
              <w:rPr>
                <w:lang w:val="es-ES"/>
              </w:rPr>
              <w:t>, aunque sin impactos robustos en salarios o empleo, y con una fuerte concentración del uso en empresas grandes. Sin embargo, esa misma evaluación no justifica concluir que la mejor política sea suprimir el incentivo: más bien apunta a mejorar focalización, calidad y pertinencia. Chile enfrenta, además, una brecha severa de competencias para la transición digital: la OCDE reporta que solo 11,7% de los adultos chilenos alcanza altos niveles de resolución de problemas en entornos tecnológicos, frente a 32% en la OCDE, y que el acceso a formación estructurada sigue siendo limitado para trabajadores de menores ingresos. Con datos del Anuario SENCE 2024, el gasto público en “Computación e Informática” alcanzó aproximadamente $20.615 millones, equivalente a cerca de 9,7% del gasto público total ejecutado por franquicia; con una definición tecnológica ampliada, el monto supera $70.678 millones. En vez de eliminar la franquicia, Chile debiera reformarla bajo un enfoque OCDE-UE: mayor apoyo a pymes, acreditación por resultados, credenciales modulares y priorización explícita de capacidades digitales e IA.</w:t>
            </w:r>
          </w:p>
        </w:tc>
      </w:tr>
    </w:tbl>
    <w:p w14:paraId="578974D3" w14:textId="77777777" w:rsidR="006A370F" w:rsidRPr="007A526F" w:rsidRDefault="006A370F" w:rsidP="007A526F">
      <w:pPr>
        <w:jc w:val="both"/>
        <w:rPr>
          <w:lang w:val="es-ES"/>
        </w:rPr>
      </w:pPr>
    </w:p>
    <w:p w14:paraId="4F5397B2" w14:textId="77777777" w:rsidR="006A370F" w:rsidRDefault="00000000" w:rsidP="007A526F">
      <w:pPr>
        <w:pStyle w:val="BriefHeading"/>
        <w:jc w:val="both"/>
      </w:pPr>
      <w:proofErr w:type="spellStart"/>
      <w:r>
        <w:t>Hallazgos</w:t>
      </w:r>
      <w:proofErr w:type="spellEnd"/>
      <w:r>
        <w:t xml:space="preserve"> </w:t>
      </w:r>
      <w:proofErr w:type="spellStart"/>
      <w:r>
        <w:t>cuantitativos</w:t>
      </w:r>
      <w:proofErr w:type="spellEnd"/>
      <w:r>
        <w:t xml:space="preserve"> clave</w:t>
      </w:r>
    </w:p>
    <w:tbl>
      <w:tblPr>
        <w:tblStyle w:val="TableGrid"/>
        <w:tblW w:w="0" w:type="auto"/>
        <w:jc w:val="center"/>
        <w:tblLook w:val="04A0" w:firstRow="1" w:lastRow="0" w:firstColumn="1" w:lastColumn="0" w:noHBand="0" w:noVBand="1"/>
      </w:tblPr>
      <w:tblGrid>
        <w:gridCol w:w="3208"/>
        <w:gridCol w:w="3207"/>
        <w:gridCol w:w="3207"/>
      </w:tblGrid>
      <w:tr w:rsidR="006A370F" w14:paraId="7E17EBF2" w14:textId="77777777">
        <w:trPr>
          <w:jc w:val="center"/>
        </w:trPr>
        <w:tc>
          <w:tcPr>
            <w:tcW w:w="3211" w:type="dxa"/>
            <w:shd w:val="clear" w:color="auto" w:fill="D9EAF7"/>
          </w:tcPr>
          <w:p w14:paraId="54EF67B9" w14:textId="77777777" w:rsidR="006A370F" w:rsidRDefault="00000000" w:rsidP="007A526F">
            <w:pPr>
              <w:jc w:val="both"/>
            </w:pPr>
            <w:r>
              <w:rPr>
                <w:b/>
                <w:sz w:val="18"/>
              </w:rPr>
              <w:t>Indicador</w:t>
            </w:r>
          </w:p>
        </w:tc>
        <w:tc>
          <w:tcPr>
            <w:tcW w:w="3211" w:type="dxa"/>
            <w:shd w:val="clear" w:color="auto" w:fill="D9EAF7"/>
          </w:tcPr>
          <w:p w14:paraId="7F6AF8CC" w14:textId="77777777" w:rsidR="006A370F" w:rsidRDefault="00000000" w:rsidP="007A526F">
            <w:pPr>
              <w:jc w:val="both"/>
            </w:pPr>
            <w:r>
              <w:rPr>
                <w:b/>
                <w:sz w:val="18"/>
              </w:rPr>
              <w:t>Valor</w:t>
            </w:r>
          </w:p>
        </w:tc>
        <w:tc>
          <w:tcPr>
            <w:tcW w:w="3211" w:type="dxa"/>
            <w:shd w:val="clear" w:color="auto" w:fill="D9EAF7"/>
          </w:tcPr>
          <w:p w14:paraId="45D7AD16" w14:textId="77777777" w:rsidR="006A370F" w:rsidRDefault="00000000" w:rsidP="007A526F">
            <w:pPr>
              <w:jc w:val="both"/>
            </w:pPr>
            <w:r>
              <w:rPr>
                <w:b/>
                <w:sz w:val="18"/>
              </w:rPr>
              <w:t>Fuente</w:t>
            </w:r>
          </w:p>
        </w:tc>
      </w:tr>
      <w:tr w:rsidR="006A370F" w14:paraId="7041EC79" w14:textId="77777777">
        <w:trPr>
          <w:jc w:val="center"/>
        </w:trPr>
        <w:tc>
          <w:tcPr>
            <w:tcW w:w="3211" w:type="dxa"/>
            <w:tcMar>
              <w:top w:w="80" w:type="dxa"/>
              <w:left w:w="90" w:type="dxa"/>
              <w:bottom w:w="80" w:type="dxa"/>
              <w:right w:w="90" w:type="dxa"/>
            </w:tcMar>
            <w:vAlign w:val="center"/>
          </w:tcPr>
          <w:p w14:paraId="76C3A3A3" w14:textId="77777777" w:rsidR="006A370F" w:rsidRDefault="00000000" w:rsidP="007A526F">
            <w:pPr>
              <w:jc w:val="both"/>
            </w:pPr>
            <w:r>
              <w:rPr>
                <w:sz w:val="18"/>
              </w:rPr>
              <w:t>Gasto público ejecutado FT 2024</w:t>
            </w:r>
          </w:p>
        </w:tc>
        <w:tc>
          <w:tcPr>
            <w:tcW w:w="3211" w:type="dxa"/>
            <w:tcMar>
              <w:top w:w="80" w:type="dxa"/>
              <w:left w:w="90" w:type="dxa"/>
              <w:bottom w:w="80" w:type="dxa"/>
              <w:right w:w="90" w:type="dxa"/>
            </w:tcMar>
            <w:vAlign w:val="center"/>
          </w:tcPr>
          <w:p w14:paraId="4A69A6AA" w14:textId="77777777" w:rsidR="006A370F" w:rsidRDefault="00000000" w:rsidP="007A526F">
            <w:pPr>
              <w:jc w:val="both"/>
            </w:pPr>
            <w:r>
              <w:rPr>
                <w:sz w:val="18"/>
              </w:rPr>
              <w:t>$213.431 millones</w:t>
            </w:r>
          </w:p>
        </w:tc>
        <w:tc>
          <w:tcPr>
            <w:tcW w:w="3211" w:type="dxa"/>
            <w:tcMar>
              <w:top w:w="80" w:type="dxa"/>
              <w:left w:w="90" w:type="dxa"/>
              <w:bottom w:w="80" w:type="dxa"/>
              <w:right w:w="90" w:type="dxa"/>
            </w:tcMar>
            <w:vAlign w:val="center"/>
          </w:tcPr>
          <w:p w14:paraId="522BAABD" w14:textId="77777777" w:rsidR="006A370F" w:rsidRDefault="00000000" w:rsidP="007A526F">
            <w:pPr>
              <w:jc w:val="both"/>
            </w:pPr>
            <w:r>
              <w:rPr>
                <w:sz w:val="18"/>
              </w:rPr>
              <w:t>DIPRES 2025 / SENCE 2024</w:t>
            </w:r>
          </w:p>
        </w:tc>
      </w:tr>
      <w:tr w:rsidR="006A370F" w14:paraId="186D3821" w14:textId="77777777">
        <w:trPr>
          <w:jc w:val="center"/>
        </w:trPr>
        <w:tc>
          <w:tcPr>
            <w:tcW w:w="3211" w:type="dxa"/>
            <w:tcMar>
              <w:top w:w="80" w:type="dxa"/>
              <w:left w:w="90" w:type="dxa"/>
              <w:bottom w:w="80" w:type="dxa"/>
              <w:right w:w="90" w:type="dxa"/>
            </w:tcMar>
            <w:vAlign w:val="center"/>
          </w:tcPr>
          <w:p w14:paraId="2C19D9AA" w14:textId="77777777" w:rsidR="006A370F" w:rsidRDefault="00000000" w:rsidP="007A526F">
            <w:pPr>
              <w:jc w:val="both"/>
            </w:pPr>
            <w:r>
              <w:rPr>
                <w:sz w:val="18"/>
              </w:rPr>
              <w:t>Beneficiarios únicos 2024</w:t>
            </w:r>
          </w:p>
        </w:tc>
        <w:tc>
          <w:tcPr>
            <w:tcW w:w="3211" w:type="dxa"/>
            <w:tcMar>
              <w:top w:w="80" w:type="dxa"/>
              <w:left w:w="90" w:type="dxa"/>
              <w:bottom w:w="80" w:type="dxa"/>
              <w:right w:w="90" w:type="dxa"/>
            </w:tcMar>
            <w:vAlign w:val="center"/>
          </w:tcPr>
          <w:p w14:paraId="76C02466" w14:textId="77777777" w:rsidR="006A370F" w:rsidRDefault="00000000" w:rsidP="007A526F">
            <w:pPr>
              <w:jc w:val="both"/>
            </w:pPr>
            <w:r>
              <w:rPr>
                <w:sz w:val="18"/>
              </w:rPr>
              <w:t>653.939</w:t>
            </w:r>
          </w:p>
        </w:tc>
        <w:tc>
          <w:tcPr>
            <w:tcW w:w="3211" w:type="dxa"/>
            <w:tcMar>
              <w:top w:w="80" w:type="dxa"/>
              <w:left w:w="90" w:type="dxa"/>
              <w:bottom w:w="80" w:type="dxa"/>
              <w:right w:w="90" w:type="dxa"/>
            </w:tcMar>
            <w:vAlign w:val="center"/>
          </w:tcPr>
          <w:p w14:paraId="44414E7F" w14:textId="77777777" w:rsidR="006A370F" w:rsidRDefault="00000000" w:rsidP="007A526F">
            <w:pPr>
              <w:jc w:val="both"/>
            </w:pPr>
            <w:r>
              <w:rPr>
                <w:sz w:val="18"/>
              </w:rPr>
              <w:t>DIPRES 2025</w:t>
            </w:r>
          </w:p>
        </w:tc>
      </w:tr>
      <w:tr w:rsidR="006A370F" w14:paraId="7C864689" w14:textId="77777777">
        <w:trPr>
          <w:jc w:val="center"/>
        </w:trPr>
        <w:tc>
          <w:tcPr>
            <w:tcW w:w="3211" w:type="dxa"/>
            <w:tcMar>
              <w:top w:w="80" w:type="dxa"/>
              <w:left w:w="90" w:type="dxa"/>
              <w:bottom w:w="80" w:type="dxa"/>
              <w:right w:w="90" w:type="dxa"/>
            </w:tcMar>
            <w:vAlign w:val="center"/>
          </w:tcPr>
          <w:p w14:paraId="310F033C" w14:textId="77777777" w:rsidR="006A370F" w:rsidRPr="007A526F" w:rsidRDefault="00000000" w:rsidP="007A526F">
            <w:pPr>
              <w:jc w:val="both"/>
              <w:rPr>
                <w:lang w:val="es-ES"/>
              </w:rPr>
            </w:pPr>
            <w:r w:rsidRPr="007A526F">
              <w:rPr>
                <w:sz w:val="18"/>
                <w:lang w:val="es-ES"/>
              </w:rPr>
              <w:t>Capacitados provenientes de empresas grandes</w:t>
            </w:r>
          </w:p>
        </w:tc>
        <w:tc>
          <w:tcPr>
            <w:tcW w:w="3211" w:type="dxa"/>
            <w:tcMar>
              <w:top w:w="80" w:type="dxa"/>
              <w:left w:w="90" w:type="dxa"/>
              <w:bottom w:w="80" w:type="dxa"/>
              <w:right w:w="90" w:type="dxa"/>
            </w:tcMar>
            <w:vAlign w:val="center"/>
          </w:tcPr>
          <w:p w14:paraId="27FBE5F2" w14:textId="77777777" w:rsidR="006A370F" w:rsidRDefault="00000000" w:rsidP="007A526F">
            <w:pPr>
              <w:jc w:val="both"/>
            </w:pPr>
            <w:r>
              <w:rPr>
                <w:sz w:val="18"/>
              </w:rPr>
              <w:t>≈88%</w:t>
            </w:r>
          </w:p>
        </w:tc>
        <w:tc>
          <w:tcPr>
            <w:tcW w:w="3211" w:type="dxa"/>
            <w:tcMar>
              <w:top w:w="80" w:type="dxa"/>
              <w:left w:w="90" w:type="dxa"/>
              <w:bottom w:w="80" w:type="dxa"/>
              <w:right w:w="90" w:type="dxa"/>
            </w:tcMar>
            <w:vAlign w:val="center"/>
          </w:tcPr>
          <w:p w14:paraId="05B143E4" w14:textId="77777777" w:rsidR="006A370F" w:rsidRDefault="00000000" w:rsidP="007A526F">
            <w:pPr>
              <w:jc w:val="both"/>
            </w:pPr>
            <w:r>
              <w:rPr>
                <w:sz w:val="18"/>
              </w:rPr>
              <w:t>DIPRES 2025</w:t>
            </w:r>
          </w:p>
        </w:tc>
      </w:tr>
      <w:tr w:rsidR="006A370F" w14:paraId="5E99B43F" w14:textId="77777777">
        <w:trPr>
          <w:jc w:val="center"/>
        </w:trPr>
        <w:tc>
          <w:tcPr>
            <w:tcW w:w="3211" w:type="dxa"/>
            <w:tcMar>
              <w:top w:w="80" w:type="dxa"/>
              <w:left w:w="90" w:type="dxa"/>
              <w:bottom w:w="80" w:type="dxa"/>
              <w:right w:w="90" w:type="dxa"/>
            </w:tcMar>
            <w:vAlign w:val="center"/>
          </w:tcPr>
          <w:p w14:paraId="464CE543" w14:textId="77777777" w:rsidR="006A370F" w:rsidRPr="007A526F" w:rsidRDefault="00000000" w:rsidP="007A526F">
            <w:pPr>
              <w:jc w:val="both"/>
              <w:rPr>
                <w:lang w:val="es-ES"/>
              </w:rPr>
            </w:pPr>
            <w:r w:rsidRPr="007A526F">
              <w:rPr>
                <w:sz w:val="18"/>
                <w:lang w:val="es-ES"/>
              </w:rPr>
              <w:t>Efecto en capacitación al pasar de 50% a 100% de cobertura</w:t>
            </w:r>
          </w:p>
        </w:tc>
        <w:tc>
          <w:tcPr>
            <w:tcW w:w="3211" w:type="dxa"/>
            <w:tcMar>
              <w:top w:w="80" w:type="dxa"/>
              <w:left w:w="90" w:type="dxa"/>
              <w:bottom w:w="80" w:type="dxa"/>
              <w:right w:w="90" w:type="dxa"/>
            </w:tcMar>
            <w:vAlign w:val="center"/>
          </w:tcPr>
          <w:p w14:paraId="0F041FF9" w14:textId="77777777" w:rsidR="006A370F" w:rsidRDefault="00000000" w:rsidP="007A526F">
            <w:pPr>
              <w:jc w:val="both"/>
            </w:pPr>
            <w:r>
              <w:rPr>
                <w:sz w:val="18"/>
              </w:rPr>
              <w:t>12,7% (2018) y 17,2% (2019)</w:t>
            </w:r>
          </w:p>
        </w:tc>
        <w:tc>
          <w:tcPr>
            <w:tcW w:w="3211" w:type="dxa"/>
            <w:tcMar>
              <w:top w:w="80" w:type="dxa"/>
              <w:left w:w="90" w:type="dxa"/>
              <w:bottom w:w="80" w:type="dxa"/>
              <w:right w:w="90" w:type="dxa"/>
            </w:tcMar>
            <w:vAlign w:val="center"/>
          </w:tcPr>
          <w:p w14:paraId="2C4B44C3" w14:textId="77777777" w:rsidR="006A370F" w:rsidRDefault="00000000" w:rsidP="007A526F">
            <w:pPr>
              <w:jc w:val="both"/>
            </w:pPr>
            <w:r>
              <w:rPr>
                <w:sz w:val="18"/>
              </w:rPr>
              <w:t>DIPRES 2025</w:t>
            </w:r>
          </w:p>
        </w:tc>
      </w:tr>
      <w:tr w:rsidR="006A370F" w14:paraId="59008FFA" w14:textId="77777777">
        <w:trPr>
          <w:jc w:val="center"/>
        </w:trPr>
        <w:tc>
          <w:tcPr>
            <w:tcW w:w="3211" w:type="dxa"/>
            <w:tcMar>
              <w:top w:w="80" w:type="dxa"/>
              <w:left w:w="90" w:type="dxa"/>
              <w:bottom w:w="80" w:type="dxa"/>
              <w:right w:w="90" w:type="dxa"/>
            </w:tcMar>
            <w:vAlign w:val="center"/>
          </w:tcPr>
          <w:p w14:paraId="49A4B2B2" w14:textId="77777777" w:rsidR="006A370F" w:rsidRPr="007A526F" w:rsidRDefault="00000000" w:rsidP="007A526F">
            <w:pPr>
              <w:jc w:val="both"/>
              <w:rPr>
                <w:lang w:val="es-ES"/>
              </w:rPr>
            </w:pPr>
            <w:r w:rsidRPr="007A526F">
              <w:rPr>
                <w:sz w:val="18"/>
                <w:lang w:val="es-ES"/>
              </w:rPr>
              <w:t>Gasto público 2024 en “Computación e Informática”</w:t>
            </w:r>
          </w:p>
        </w:tc>
        <w:tc>
          <w:tcPr>
            <w:tcW w:w="3211" w:type="dxa"/>
            <w:tcMar>
              <w:top w:w="80" w:type="dxa"/>
              <w:left w:w="90" w:type="dxa"/>
              <w:bottom w:w="80" w:type="dxa"/>
              <w:right w:w="90" w:type="dxa"/>
            </w:tcMar>
            <w:vAlign w:val="center"/>
          </w:tcPr>
          <w:p w14:paraId="4E684063" w14:textId="77777777" w:rsidR="006A370F" w:rsidRDefault="00000000" w:rsidP="007A526F">
            <w:pPr>
              <w:jc w:val="both"/>
            </w:pPr>
            <w:r>
              <w:rPr>
                <w:sz w:val="18"/>
              </w:rPr>
              <w:t xml:space="preserve">$20.615 </w:t>
            </w:r>
            <w:proofErr w:type="spellStart"/>
            <w:r>
              <w:rPr>
                <w:sz w:val="18"/>
              </w:rPr>
              <w:t>millones</w:t>
            </w:r>
            <w:proofErr w:type="spellEnd"/>
          </w:p>
        </w:tc>
        <w:tc>
          <w:tcPr>
            <w:tcW w:w="3211" w:type="dxa"/>
            <w:tcMar>
              <w:top w:w="80" w:type="dxa"/>
              <w:left w:w="90" w:type="dxa"/>
              <w:bottom w:w="80" w:type="dxa"/>
              <w:right w:w="90" w:type="dxa"/>
            </w:tcMar>
            <w:vAlign w:val="center"/>
          </w:tcPr>
          <w:p w14:paraId="107AFB1F" w14:textId="77777777" w:rsidR="006A370F" w:rsidRDefault="00000000" w:rsidP="007A526F">
            <w:pPr>
              <w:jc w:val="both"/>
            </w:pPr>
            <w:r>
              <w:rPr>
                <w:sz w:val="18"/>
              </w:rPr>
              <w:t>Anuario SENCE 2024, cuadro A.19</w:t>
            </w:r>
          </w:p>
        </w:tc>
      </w:tr>
    </w:tbl>
    <w:p w14:paraId="05A0611C" w14:textId="77777777" w:rsidR="006A370F" w:rsidRPr="007A526F" w:rsidRDefault="00000000" w:rsidP="007A526F">
      <w:pPr>
        <w:pStyle w:val="BriefHeading"/>
        <w:jc w:val="both"/>
        <w:rPr>
          <w:lang w:val="es-ES"/>
        </w:rPr>
      </w:pPr>
      <w:r w:rsidRPr="007A526F">
        <w:rPr>
          <w:lang w:val="es-ES"/>
        </w:rPr>
        <w:t>1. Diagnóstico: el SENCE tiene problemas, pero el caso para eliminar la franquicia es débil</w:t>
      </w:r>
    </w:p>
    <w:p w14:paraId="74BA293D" w14:textId="77777777" w:rsidR="006A370F" w:rsidRPr="007A526F" w:rsidRDefault="00000000" w:rsidP="007A526F">
      <w:pPr>
        <w:spacing w:after="120"/>
        <w:ind w:firstLine="255"/>
        <w:jc w:val="both"/>
        <w:rPr>
          <w:lang w:val="es-ES"/>
        </w:rPr>
      </w:pPr>
      <w:r w:rsidRPr="007A526F">
        <w:rPr>
          <w:lang w:val="es-ES"/>
        </w:rPr>
        <w:t xml:space="preserve">La discusión pública de abril de 2026 parte de una premisa correcta y de una conclusión equivocada. La premisa correcta es que la Franquicia Tributaria del SENCE tiene déficits de focalización, calidad y gobernanza. La conclusión equivocada es que dichos déficits obligan a suprimir el instrumento. Las notas periodísticas disponibles indican que el Ministerio de Hacienda evalúa eliminar la franquicia como parte del </w:t>
      </w:r>
      <w:r w:rsidRPr="007A526F">
        <w:rPr>
          <w:lang w:val="es-ES"/>
        </w:rPr>
        <w:lastRenderedPageBreak/>
        <w:t>programa fiscal del gobierno de José Antonio Kast, con un ahorro estimado de US$300 millones anuales, mientras que el sector OTEC advierte un daño severo a la empleabilidad y a la capacidad del país para competir en la era digital [1][2].</w:t>
      </w:r>
    </w:p>
    <w:p w14:paraId="24CD0099" w14:textId="68A708D7" w:rsidR="006A370F" w:rsidRPr="007A526F" w:rsidRDefault="00000000" w:rsidP="007A526F">
      <w:pPr>
        <w:spacing w:after="120"/>
        <w:ind w:firstLine="255"/>
        <w:jc w:val="both"/>
        <w:rPr>
          <w:lang w:val="es-ES"/>
        </w:rPr>
      </w:pPr>
      <w:r w:rsidRPr="007A526F">
        <w:rPr>
          <w:lang w:val="es-ES"/>
        </w:rPr>
        <w:t>La propia evidencia pública chilena invita a una lectura más cuidadosa. La “Evaluación de Impacto Franquicia Tributaria” de la Dirección de Presupuestos documenta que el instrumento concentra su uso en empresas grandes: alrededor de 88% de los capacitados proviene de firmas grandes, 10% de medianas y apenas 2% de pequeñas empresas. También muestra que el programa no generó impactos robustos en salarios o empleo formal en la ventana evaluada, pero sí registró efectos positivos sobre la probabilidad de capacitación en 2018 y 2019, especialmente en el tramo de menores remuneraciones, con incrementos estimados de 12,7% y 17,2% al comparar tratados y controles alrededor del umbral de 25 UTM.</w:t>
      </w:r>
    </w:p>
    <w:p w14:paraId="679CB596" w14:textId="6B0B1B83" w:rsidR="006A370F" w:rsidRPr="007A526F" w:rsidRDefault="00000000" w:rsidP="007A526F">
      <w:pPr>
        <w:spacing w:after="120"/>
        <w:ind w:firstLine="255"/>
        <w:jc w:val="both"/>
        <w:rPr>
          <w:lang w:val="es-ES"/>
        </w:rPr>
      </w:pPr>
      <w:r w:rsidRPr="007A526F">
        <w:rPr>
          <w:lang w:val="es-ES"/>
        </w:rPr>
        <w:t>Eso importa por una razón central: una política con fallas distributivas y problemas de calidad no es sinónimo de una política inútil. De hecho, la misma evaluación de DIPRES sugiere una agenda de rediseño: fortalecer incentivos para pymes, revisar el segundo umbral y reorientar el financiamiento hacia cursos con mayor capacidad de mejorar trayectorias laborales. La literatura chilena previa converge en lo mismo. La “Comisión Revisora del Sistema de Capacitación e Intermediación Laboral” (2011), el “Estudio sobre la organización, estructura y funcionamiento del mercado de la capacitación en Chile” del Centro de Sistemas Públicos (2015), y la nota técnica “Caracterización del Funcionamiento de la Franquicia Tributaria” de Carrillo, De Diego y Miranda (2018) identifican problemas de diseño, asimetrías de información, baja pertinencia de la oferta y débil acceso de MiPymes; pero esos hallazgos apuntan a reforma institucional, no a desfinanciar el aprendizaje adulto en un momento de aceleración tecnológica.</w:t>
      </w:r>
    </w:p>
    <w:p w14:paraId="01EF2AB1" w14:textId="77777777" w:rsidR="006A370F" w:rsidRPr="007A526F" w:rsidRDefault="00000000" w:rsidP="007A526F">
      <w:pPr>
        <w:pStyle w:val="BriefHeading"/>
        <w:jc w:val="both"/>
        <w:rPr>
          <w:lang w:val="es-ES"/>
        </w:rPr>
      </w:pPr>
      <w:r w:rsidRPr="007A526F">
        <w:rPr>
          <w:lang w:val="es-ES"/>
        </w:rPr>
        <w:t>2. Capital humano avanzado en tecnología e IA: la evidencia internacional favorece más inversión, no menos</w:t>
      </w:r>
    </w:p>
    <w:p w14:paraId="4F456AB1" w14:textId="77777777" w:rsidR="006A370F" w:rsidRPr="007A526F" w:rsidRDefault="00000000" w:rsidP="007A526F">
      <w:pPr>
        <w:spacing w:after="120"/>
        <w:ind w:firstLine="255"/>
        <w:jc w:val="both"/>
        <w:rPr>
          <w:lang w:val="es-ES"/>
        </w:rPr>
      </w:pPr>
      <w:r w:rsidRPr="007A526F">
        <w:rPr>
          <w:lang w:val="es-ES"/>
        </w:rPr>
        <w:t xml:space="preserve">El contexto internacional hace aún menos defendible una eliminación abrupta. La “OECD </w:t>
      </w:r>
      <w:proofErr w:type="spellStart"/>
      <w:r w:rsidRPr="007A526F">
        <w:rPr>
          <w:lang w:val="es-ES"/>
        </w:rPr>
        <w:t>Economic</w:t>
      </w:r>
      <w:proofErr w:type="spellEnd"/>
      <w:r w:rsidRPr="007A526F">
        <w:rPr>
          <w:lang w:val="es-ES"/>
        </w:rPr>
        <w:t xml:space="preserve"> </w:t>
      </w:r>
      <w:proofErr w:type="spellStart"/>
      <w:r w:rsidRPr="007A526F">
        <w:rPr>
          <w:lang w:val="es-ES"/>
        </w:rPr>
        <w:t>Surveys</w:t>
      </w:r>
      <w:proofErr w:type="spellEnd"/>
      <w:r w:rsidRPr="007A526F">
        <w:rPr>
          <w:lang w:val="es-ES"/>
        </w:rPr>
        <w:t xml:space="preserve">: Chile 2025” advierte que Chile enfrenta escasez de trabajadores altamente calificados para las transiciones digital y verde, junto con un déficit de profesionales TIC y bajos niveles de habilidades para desempeñarse en el mundo digital [3]. El documento “Chile: </w:t>
      </w:r>
      <w:proofErr w:type="spellStart"/>
      <w:r w:rsidRPr="007A526F">
        <w:rPr>
          <w:lang w:val="es-ES"/>
        </w:rPr>
        <w:t>Foundations</w:t>
      </w:r>
      <w:proofErr w:type="spellEnd"/>
      <w:r w:rsidRPr="007A526F">
        <w:rPr>
          <w:lang w:val="es-ES"/>
        </w:rPr>
        <w:t xml:space="preserve"> </w:t>
      </w:r>
      <w:proofErr w:type="spellStart"/>
      <w:r w:rsidRPr="007A526F">
        <w:rPr>
          <w:lang w:val="es-ES"/>
        </w:rPr>
        <w:t>for</w:t>
      </w:r>
      <w:proofErr w:type="spellEnd"/>
      <w:r w:rsidRPr="007A526F">
        <w:rPr>
          <w:lang w:val="es-ES"/>
        </w:rPr>
        <w:t xml:space="preserve"> </w:t>
      </w:r>
      <w:proofErr w:type="spellStart"/>
      <w:r w:rsidRPr="007A526F">
        <w:rPr>
          <w:lang w:val="es-ES"/>
        </w:rPr>
        <w:t>Growth</w:t>
      </w:r>
      <w:proofErr w:type="spellEnd"/>
      <w:r w:rsidRPr="007A526F">
        <w:rPr>
          <w:lang w:val="es-ES"/>
        </w:rPr>
        <w:t xml:space="preserve"> and </w:t>
      </w:r>
      <w:proofErr w:type="spellStart"/>
      <w:r w:rsidRPr="007A526F">
        <w:rPr>
          <w:lang w:val="es-ES"/>
        </w:rPr>
        <w:t>Competitiveness</w:t>
      </w:r>
      <w:proofErr w:type="spellEnd"/>
      <w:r w:rsidRPr="007A526F">
        <w:rPr>
          <w:lang w:val="es-ES"/>
        </w:rPr>
        <w:t xml:space="preserve"> 2026” agrega que la proporción de adultos chilenos con alta competencia en resolución de problemas en entornos tecnológicos es muy inferior al promedio OCDE: 11,7% versus 32%, y que el acceso a formación estructurada está especialmente restringido para trabajadores de bajos ingresos [4].</w:t>
      </w:r>
    </w:p>
    <w:p w14:paraId="351AF074" w14:textId="77777777" w:rsidR="006A370F" w:rsidRPr="007A526F" w:rsidRDefault="00000000" w:rsidP="007A526F">
      <w:pPr>
        <w:spacing w:after="120"/>
        <w:ind w:firstLine="255"/>
        <w:jc w:val="both"/>
        <w:rPr>
          <w:lang w:val="es-ES"/>
        </w:rPr>
      </w:pPr>
      <w:r w:rsidRPr="007A526F">
        <w:rPr>
          <w:lang w:val="es-ES"/>
        </w:rPr>
        <w:t xml:space="preserve">La “Evaluación de Competencias de la Población Adulta 2023: Chile”, publicada por la OCDE, profundiza este diagnóstico: 56% de la población adulta chilena se ubica en nivel 1 o inferior en resolución adaptativa de problemas; 53% está en ese rango en lectura y 56% en razonamiento matemático, muy por encima de los promedios OCDE para bajos desempeños [5]. Es decir, el problema chileno no es solo de élite tecnológica; es de base amplia. La transición a una economía de datos e IA exige más que especialistas: exige capacidades de lectura, </w:t>
      </w:r>
      <w:proofErr w:type="spellStart"/>
      <w:r w:rsidRPr="007A526F">
        <w:rPr>
          <w:lang w:val="es-ES"/>
        </w:rPr>
        <w:t>numeracia</w:t>
      </w:r>
      <w:proofErr w:type="spellEnd"/>
      <w:r w:rsidRPr="007A526F">
        <w:rPr>
          <w:lang w:val="es-ES"/>
        </w:rPr>
        <w:t>, resolución de problemas, uso de software y adaptación al cambio.</w:t>
      </w:r>
    </w:p>
    <w:p w14:paraId="65876F0D" w14:textId="77777777" w:rsidR="006A370F" w:rsidRPr="007A526F" w:rsidRDefault="00000000" w:rsidP="007A526F">
      <w:pPr>
        <w:spacing w:after="120"/>
        <w:ind w:firstLine="255"/>
        <w:jc w:val="both"/>
        <w:rPr>
          <w:lang w:val="es-ES"/>
        </w:rPr>
      </w:pPr>
      <w:r w:rsidRPr="007A526F">
        <w:rPr>
          <w:lang w:val="es-ES"/>
        </w:rPr>
        <w:t xml:space="preserve">La evidencia de la OCDE sobre IA confirma esa dirección. En “Artificial </w:t>
      </w:r>
      <w:proofErr w:type="spellStart"/>
      <w:r w:rsidRPr="007A526F">
        <w:rPr>
          <w:lang w:val="es-ES"/>
        </w:rPr>
        <w:t>intelligence</w:t>
      </w:r>
      <w:proofErr w:type="spellEnd"/>
      <w:r w:rsidRPr="007A526F">
        <w:rPr>
          <w:lang w:val="es-ES"/>
        </w:rPr>
        <w:t xml:space="preserve"> and </w:t>
      </w:r>
      <w:proofErr w:type="spellStart"/>
      <w:r w:rsidRPr="007A526F">
        <w:rPr>
          <w:lang w:val="es-ES"/>
        </w:rPr>
        <w:t>the</w:t>
      </w:r>
      <w:proofErr w:type="spellEnd"/>
      <w:r w:rsidRPr="007A526F">
        <w:rPr>
          <w:lang w:val="es-ES"/>
        </w:rPr>
        <w:t xml:space="preserve"> </w:t>
      </w:r>
      <w:proofErr w:type="spellStart"/>
      <w:r w:rsidRPr="007A526F">
        <w:rPr>
          <w:lang w:val="es-ES"/>
        </w:rPr>
        <w:t>changing</w:t>
      </w:r>
      <w:proofErr w:type="spellEnd"/>
      <w:r w:rsidRPr="007A526F">
        <w:rPr>
          <w:lang w:val="es-ES"/>
        </w:rPr>
        <w:t xml:space="preserve"> </w:t>
      </w:r>
      <w:proofErr w:type="spellStart"/>
      <w:r w:rsidRPr="007A526F">
        <w:rPr>
          <w:lang w:val="es-ES"/>
        </w:rPr>
        <w:t>demand</w:t>
      </w:r>
      <w:proofErr w:type="spellEnd"/>
      <w:r w:rsidRPr="007A526F">
        <w:rPr>
          <w:lang w:val="es-ES"/>
        </w:rPr>
        <w:t xml:space="preserve"> </w:t>
      </w:r>
      <w:proofErr w:type="spellStart"/>
      <w:r w:rsidRPr="007A526F">
        <w:rPr>
          <w:lang w:val="es-ES"/>
        </w:rPr>
        <w:t>for</w:t>
      </w:r>
      <w:proofErr w:type="spellEnd"/>
      <w:r w:rsidRPr="007A526F">
        <w:rPr>
          <w:lang w:val="es-ES"/>
        </w:rPr>
        <w:t xml:space="preserve"> </w:t>
      </w:r>
      <w:proofErr w:type="spellStart"/>
      <w:r w:rsidRPr="007A526F">
        <w:rPr>
          <w:lang w:val="es-ES"/>
        </w:rPr>
        <w:t>skills</w:t>
      </w:r>
      <w:proofErr w:type="spellEnd"/>
      <w:r w:rsidRPr="007A526F">
        <w:rPr>
          <w:lang w:val="es-ES"/>
        </w:rPr>
        <w:t xml:space="preserve"> in </w:t>
      </w:r>
      <w:proofErr w:type="spellStart"/>
      <w:r w:rsidRPr="007A526F">
        <w:rPr>
          <w:lang w:val="es-ES"/>
        </w:rPr>
        <w:t>the</w:t>
      </w:r>
      <w:proofErr w:type="spellEnd"/>
      <w:r w:rsidRPr="007A526F">
        <w:rPr>
          <w:lang w:val="es-ES"/>
        </w:rPr>
        <w:t xml:space="preserve"> </w:t>
      </w:r>
      <w:proofErr w:type="spellStart"/>
      <w:r w:rsidRPr="007A526F">
        <w:rPr>
          <w:lang w:val="es-ES"/>
        </w:rPr>
        <w:t>labour</w:t>
      </w:r>
      <w:proofErr w:type="spellEnd"/>
      <w:r w:rsidRPr="007A526F">
        <w:rPr>
          <w:lang w:val="es-ES"/>
        </w:rPr>
        <w:t xml:space="preserve"> </w:t>
      </w:r>
      <w:proofErr w:type="spellStart"/>
      <w:r w:rsidRPr="007A526F">
        <w:rPr>
          <w:lang w:val="es-ES"/>
        </w:rPr>
        <w:t>market</w:t>
      </w:r>
      <w:proofErr w:type="spellEnd"/>
      <w:r w:rsidRPr="007A526F">
        <w:rPr>
          <w:lang w:val="es-ES"/>
        </w:rPr>
        <w:t xml:space="preserve">”, Green (2024) muestra que los trabajos altamente expuestos a la IA no solo demandan habilidades digitales; también requieren más capacidades cognitivas, socioemocionales y de gestión, y que la demanda de estas habilidades ha aumentado con el avance de la IA [6]. La página temática “AI and </w:t>
      </w:r>
      <w:proofErr w:type="spellStart"/>
      <w:r w:rsidRPr="007A526F">
        <w:rPr>
          <w:lang w:val="es-ES"/>
        </w:rPr>
        <w:t>work</w:t>
      </w:r>
      <w:proofErr w:type="spellEnd"/>
      <w:r w:rsidRPr="007A526F">
        <w:rPr>
          <w:lang w:val="es-ES"/>
        </w:rPr>
        <w:t xml:space="preserve">” de la OCDE también muestra que la demanda de habilidades </w:t>
      </w:r>
      <w:r w:rsidRPr="007A526F">
        <w:rPr>
          <w:lang w:val="es-ES"/>
        </w:rPr>
        <w:lastRenderedPageBreak/>
        <w:t xml:space="preserve">asociadas a IA se concentra en ocupaciones como ciencia de datos, ingeniería </w:t>
      </w:r>
      <w:proofErr w:type="spellStart"/>
      <w:r w:rsidRPr="007A526F">
        <w:rPr>
          <w:lang w:val="es-ES"/>
        </w:rPr>
        <w:t>cloud</w:t>
      </w:r>
      <w:proofErr w:type="spellEnd"/>
      <w:r w:rsidRPr="007A526F">
        <w:rPr>
          <w:lang w:val="es-ES"/>
        </w:rPr>
        <w:t xml:space="preserve"> e investigación aplicada, reforzando la necesidad de trayectorias formativas flexibles y especializadas [7].</w:t>
      </w:r>
    </w:p>
    <w:p w14:paraId="17BC288E" w14:textId="77777777" w:rsidR="006A370F" w:rsidRDefault="00000000" w:rsidP="007A526F">
      <w:pPr>
        <w:spacing w:after="120"/>
        <w:ind w:firstLine="255"/>
        <w:jc w:val="both"/>
        <w:rPr>
          <w:lang w:val="es-ES"/>
        </w:rPr>
      </w:pPr>
      <w:r w:rsidRPr="007A526F">
        <w:rPr>
          <w:lang w:val="es-ES"/>
        </w:rPr>
        <w:t xml:space="preserve">El Banco Mundial llega a una conclusión compatible. En “Generative AI and Jobs in </w:t>
      </w:r>
      <w:proofErr w:type="spellStart"/>
      <w:r w:rsidRPr="007A526F">
        <w:rPr>
          <w:lang w:val="es-ES"/>
        </w:rPr>
        <w:t>Latin</w:t>
      </w:r>
      <w:proofErr w:type="spellEnd"/>
      <w:r w:rsidRPr="007A526F">
        <w:rPr>
          <w:lang w:val="es-ES"/>
        </w:rPr>
        <w:t xml:space="preserve"> </w:t>
      </w:r>
      <w:proofErr w:type="spellStart"/>
      <w:r w:rsidRPr="007A526F">
        <w:rPr>
          <w:lang w:val="es-ES"/>
        </w:rPr>
        <w:t>America</w:t>
      </w:r>
      <w:proofErr w:type="spellEnd"/>
      <w:r w:rsidRPr="007A526F">
        <w:rPr>
          <w:lang w:val="es-ES"/>
        </w:rPr>
        <w:t xml:space="preserve"> and </w:t>
      </w:r>
      <w:proofErr w:type="spellStart"/>
      <w:r w:rsidRPr="007A526F">
        <w:rPr>
          <w:lang w:val="es-ES"/>
        </w:rPr>
        <w:t>the</w:t>
      </w:r>
      <w:proofErr w:type="spellEnd"/>
      <w:r w:rsidRPr="007A526F">
        <w:rPr>
          <w:lang w:val="es-ES"/>
        </w:rPr>
        <w:t xml:space="preserve"> </w:t>
      </w:r>
      <w:proofErr w:type="spellStart"/>
      <w:r w:rsidRPr="007A526F">
        <w:rPr>
          <w:lang w:val="es-ES"/>
        </w:rPr>
        <w:t>Caribbean</w:t>
      </w:r>
      <w:proofErr w:type="spellEnd"/>
      <w:r w:rsidRPr="007A526F">
        <w:rPr>
          <w:lang w:val="es-ES"/>
        </w:rPr>
        <w:t xml:space="preserve">: </w:t>
      </w:r>
      <w:proofErr w:type="spellStart"/>
      <w:proofErr w:type="gramStart"/>
      <w:r w:rsidRPr="007A526F">
        <w:rPr>
          <w:lang w:val="es-ES"/>
        </w:rPr>
        <w:t>Is</w:t>
      </w:r>
      <w:proofErr w:type="spellEnd"/>
      <w:r w:rsidRPr="007A526F">
        <w:rPr>
          <w:lang w:val="es-ES"/>
        </w:rPr>
        <w:t xml:space="preserve"> </w:t>
      </w:r>
      <w:proofErr w:type="spellStart"/>
      <w:r w:rsidRPr="007A526F">
        <w:rPr>
          <w:lang w:val="es-ES"/>
        </w:rPr>
        <w:t>the</w:t>
      </w:r>
      <w:proofErr w:type="spellEnd"/>
      <w:r w:rsidRPr="007A526F">
        <w:rPr>
          <w:lang w:val="es-ES"/>
        </w:rPr>
        <w:t xml:space="preserve"> Digital Divide a Buffer </w:t>
      </w:r>
      <w:proofErr w:type="spellStart"/>
      <w:r w:rsidRPr="007A526F">
        <w:rPr>
          <w:lang w:val="es-ES"/>
        </w:rPr>
        <w:t>or</w:t>
      </w:r>
      <w:proofErr w:type="spellEnd"/>
      <w:r w:rsidRPr="007A526F">
        <w:rPr>
          <w:lang w:val="es-ES"/>
        </w:rPr>
        <w:t xml:space="preserve"> </w:t>
      </w:r>
      <w:proofErr w:type="spellStart"/>
      <w:r w:rsidRPr="007A526F">
        <w:rPr>
          <w:lang w:val="es-ES"/>
        </w:rPr>
        <w:t>Bottleneck</w:t>
      </w:r>
      <w:proofErr w:type="spellEnd"/>
      <w:r w:rsidRPr="007A526F">
        <w:rPr>
          <w:lang w:val="es-ES"/>
        </w:rPr>
        <w:t>?</w:t>
      </w:r>
      <w:proofErr w:type="gramEnd"/>
      <w:r w:rsidRPr="007A526F">
        <w:rPr>
          <w:lang w:val="es-ES"/>
        </w:rPr>
        <w:t>”, el Banco Mundial y la OIT sostienen que la IA generativa puede transformar empleo e ingresos en la región, pero que las brechas digitales y otras desigualdades pueden bloquear ese potencial [8]. En otras palabras: el cuello de botella no es que Chile invierta demasiado en formación; es que todavía no invierte de forma suficientemente profunda, focalizada y moderna.</w:t>
      </w:r>
    </w:p>
    <w:p w14:paraId="27AAE7AD" w14:textId="5EEBA412" w:rsidR="00AC79A1" w:rsidRPr="00AC79A1" w:rsidRDefault="00AC79A1" w:rsidP="00AC79A1">
      <w:pPr>
        <w:spacing w:after="120"/>
        <w:ind w:firstLine="255"/>
        <w:jc w:val="both"/>
        <w:rPr>
          <w:lang w:val="es-CL"/>
        </w:rPr>
      </w:pPr>
      <w:r w:rsidRPr="003436E4">
        <w:rPr>
          <w:lang w:val="es-CL"/>
        </w:rPr>
        <w:t xml:space="preserve">Un ejemplo claro es BCN Global, el mayor grupo de OTEC del país. Según comenta Felipe Alvarado, </w:t>
      </w:r>
      <w:proofErr w:type="spellStart"/>
      <w:r w:rsidRPr="003436E4">
        <w:rPr>
          <w:lang w:val="es-CL"/>
        </w:rPr>
        <w:t>Chief</w:t>
      </w:r>
      <w:proofErr w:type="spellEnd"/>
      <w:r w:rsidRPr="003436E4">
        <w:rPr>
          <w:lang w:val="es-CL"/>
        </w:rPr>
        <w:t xml:space="preserve"> </w:t>
      </w:r>
      <w:proofErr w:type="spellStart"/>
      <w:r w:rsidRPr="003436E4">
        <w:rPr>
          <w:lang w:val="es-CL"/>
        </w:rPr>
        <w:t>Commercial</w:t>
      </w:r>
      <w:proofErr w:type="spellEnd"/>
      <w:r w:rsidRPr="003436E4">
        <w:rPr>
          <w:lang w:val="es-CL"/>
        </w:rPr>
        <w:t xml:space="preserve"> </w:t>
      </w:r>
      <w:proofErr w:type="spellStart"/>
      <w:r w:rsidRPr="003436E4">
        <w:rPr>
          <w:lang w:val="es-CL"/>
        </w:rPr>
        <w:t>Officer</w:t>
      </w:r>
      <w:proofErr w:type="spellEnd"/>
      <w:r w:rsidRPr="003436E4">
        <w:rPr>
          <w:lang w:val="es-CL"/>
        </w:rPr>
        <w:t xml:space="preserve">, cerca del 50% de la demanda de capacitación hoy está concentrada en tecnología y productividad. Este dato no es menor: refleja cómo el entrenamiento en tecnología se ha vuelto un habilitador estratégico para la competitividad y la empleabilidad. Desde procesos de alfabetización digital hasta la incorporación práctica de inteligencia artificial en roles no técnicos, estas iniciativas están permitiendo no solo mejorar el desempeño en el corto plazo, sino también impulsar procesos de </w:t>
      </w:r>
      <w:proofErr w:type="spellStart"/>
      <w:r w:rsidRPr="003436E4">
        <w:rPr>
          <w:lang w:val="es-CL"/>
        </w:rPr>
        <w:t>reskilling</w:t>
      </w:r>
      <w:proofErr w:type="spellEnd"/>
      <w:r w:rsidRPr="003436E4">
        <w:rPr>
          <w:lang w:val="es-CL"/>
        </w:rPr>
        <w:t xml:space="preserve"> que preparan a los profesionales para los desafíos reales del negocio.</w:t>
      </w:r>
    </w:p>
    <w:p w14:paraId="286C9978" w14:textId="77777777" w:rsidR="006A370F" w:rsidRPr="007A526F" w:rsidRDefault="00000000" w:rsidP="007A526F">
      <w:pPr>
        <w:spacing w:after="120"/>
        <w:ind w:firstLine="255"/>
        <w:jc w:val="both"/>
        <w:rPr>
          <w:lang w:val="es-ES"/>
        </w:rPr>
      </w:pPr>
      <w:r w:rsidRPr="007A526F">
        <w:rPr>
          <w:lang w:val="es-ES"/>
        </w:rPr>
        <w:t>Los datos administrativos del propio SENCE muestran el tamaño del riesgo fiscal-productivo de eliminar la franquicia. Con el cuadro A.19 del Anuario Estadístico 2024, el gasto público ejecutado en el área “Computación e Informática” fue cercano a $20.615 millones y 81.594 participantes aprobados. Si se usa una definición tecnológica más amplia —“Computación e Informática”, “Transporte y Telecomunicaciones”, “Electricidad y Electrónica” y “Ciencias y Técnicas Aplicadas”— el gasto público supera $70.678 millones y abarca más de 351 mil aprobados. Cortar la franquicia no eliminaría solo cursos de baja calidad; también retiraría una fracción material de los recursos hoy disponibles para reconversión tecnológica.</w:t>
      </w:r>
    </w:p>
    <w:p w14:paraId="694847D0" w14:textId="77777777" w:rsidR="006A370F" w:rsidRPr="007A526F" w:rsidRDefault="00000000" w:rsidP="007A526F">
      <w:pPr>
        <w:pStyle w:val="BriefHeading"/>
        <w:jc w:val="both"/>
        <w:rPr>
          <w:lang w:val="es-ES"/>
        </w:rPr>
      </w:pPr>
      <w:r w:rsidRPr="007A526F">
        <w:rPr>
          <w:lang w:val="es-ES"/>
        </w:rPr>
        <w:t>3. Por qué el “aprendizaje en el trabajo” por sí solo no basta frente a la revolución tecnológica</w:t>
      </w:r>
    </w:p>
    <w:p w14:paraId="14F7F1BF" w14:textId="77777777" w:rsidR="006A370F" w:rsidRPr="007A526F" w:rsidRDefault="00000000" w:rsidP="007A526F">
      <w:pPr>
        <w:spacing w:after="120"/>
        <w:ind w:firstLine="255"/>
        <w:jc w:val="both"/>
        <w:rPr>
          <w:lang w:val="es-ES"/>
        </w:rPr>
      </w:pPr>
      <w:r w:rsidRPr="007A526F">
        <w:rPr>
          <w:lang w:val="es-ES"/>
        </w:rPr>
        <w:t xml:space="preserve">El argumento ministerial de sustituir capacitación financiada por “aprendizaje en el trabajo” suena intuitivo, pero es insuficiente frente al cambio tecnológico acelerado. La comparación internacional no niega el valor del aprendizaje en el trabajo; lo ubica dentro de un sistema más amplio. </w:t>
      </w:r>
      <w:proofErr w:type="spellStart"/>
      <w:r w:rsidRPr="007A526F">
        <w:rPr>
          <w:lang w:val="es-ES"/>
        </w:rPr>
        <w:t>Cedefop</w:t>
      </w:r>
      <w:proofErr w:type="spellEnd"/>
      <w:r w:rsidRPr="007A526F">
        <w:rPr>
          <w:lang w:val="es-ES"/>
        </w:rPr>
        <w:t xml:space="preserve">, en el </w:t>
      </w:r>
      <w:proofErr w:type="spellStart"/>
      <w:r w:rsidRPr="007A526F">
        <w:rPr>
          <w:lang w:val="es-ES"/>
        </w:rPr>
        <w:t>policy</w:t>
      </w:r>
      <w:proofErr w:type="spellEnd"/>
      <w:r w:rsidRPr="007A526F">
        <w:rPr>
          <w:lang w:val="es-ES"/>
        </w:rPr>
        <w:t xml:space="preserve"> </w:t>
      </w:r>
      <w:proofErr w:type="spellStart"/>
      <w:r w:rsidRPr="007A526F">
        <w:rPr>
          <w:lang w:val="es-ES"/>
        </w:rPr>
        <w:t>brief</w:t>
      </w:r>
      <w:proofErr w:type="spellEnd"/>
      <w:r w:rsidRPr="007A526F">
        <w:rPr>
          <w:lang w:val="es-ES"/>
        </w:rPr>
        <w:t xml:space="preserve"> “</w:t>
      </w:r>
      <w:proofErr w:type="spellStart"/>
      <w:r w:rsidRPr="007A526F">
        <w:rPr>
          <w:lang w:val="es-ES"/>
        </w:rPr>
        <w:t>Towards</w:t>
      </w:r>
      <w:proofErr w:type="spellEnd"/>
      <w:r w:rsidRPr="007A526F">
        <w:rPr>
          <w:lang w:val="es-ES"/>
        </w:rPr>
        <w:t xml:space="preserve"> </w:t>
      </w:r>
      <w:proofErr w:type="spellStart"/>
      <w:r w:rsidRPr="007A526F">
        <w:rPr>
          <w:lang w:val="es-ES"/>
        </w:rPr>
        <w:t>organisations</w:t>
      </w:r>
      <w:proofErr w:type="spellEnd"/>
      <w:r w:rsidRPr="007A526F">
        <w:rPr>
          <w:lang w:val="es-ES"/>
        </w:rPr>
        <w:t xml:space="preserve"> as </w:t>
      </w:r>
      <w:proofErr w:type="spellStart"/>
      <w:r w:rsidRPr="007A526F">
        <w:rPr>
          <w:lang w:val="es-ES"/>
        </w:rPr>
        <w:t>learning</w:t>
      </w:r>
      <w:proofErr w:type="spellEnd"/>
      <w:r w:rsidRPr="007A526F">
        <w:rPr>
          <w:lang w:val="es-ES"/>
        </w:rPr>
        <w:t xml:space="preserve"> </w:t>
      </w:r>
      <w:proofErr w:type="spellStart"/>
      <w:r w:rsidRPr="007A526F">
        <w:rPr>
          <w:lang w:val="es-ES"/>
        </w:rPr>
        <w:t>workplaces</w:t>
      </w:r>
      <w:proofErr w:type="spellEnd"/>
      <w:r w:rsidRPr="007A526F">
        <w:rPr>
          <w:lang w:val="es-ES"/>
        </w:rPr>
        <w:t xml:space="preserve">”, plantea precisamente que el desarrollo de habilidades adultas debe expandirse más allá del esquema tradicional e integrar trabajo, formación continua y entornos digitales conectados por marcos formales, no formales e informales [9]. La conclusión relevante no es que el aprendizaje en el trabajo sea malo, sino que dejarlo solo —sin rutas acreditables, acompañamiento pedagógico, módulos apilables y validación de competencias— no genera la profundidad requerida para </w:t>
      </w:r>
      <w:proofErr w:type="spellStart"/>
      <w:r w:rsidRPr="007A526F">
        <w:rPr>
          <w:lang w:val="es-ES"/>
        </w:rPr>
        <w:t>reskilling</w:t>
      </w:r>
      <w:proofErr w:type="spellEnd"/>
      <w:r w:rsidRPr="007A526F">
        <w:rPr>
          <w:lang w:val="es-ES"/>
        </w:rPr>
        <w:t xml:space="preserve"> tecnológico.</w:t>
      </w:r>
    </w:p>
    <w:p w14:paraId="0701F78B" w14:textId="77777777" w:rsidR="006A370F" w:rsidRPr="007A526F" w:rsidRDefault="00000000" w:rsidP="007A526F">
      <w:pPr>
        <w:spacing w:after="120"/>
        <w:ind w:firstLine="255"/>
        <w:jc w:val="both"/>
        <w:rPr>
          <w:lang w:val="es-ES"/>
        </w:rPr>
      </w:pPr>
      <w:r w:rsidRPr="007A526F">
        <w:rPr>
          <w:lang w:val="es-ES"/>
        </w:rPr>
        <w:t>La OCDE aporta dos advertencias adicionales. Primero, “</w:t>
      </w:r>
      <w:proofErr w:type="spellStart"/>
      <w:r w:rsidRPr="007A526F">
        <w:rPr>
          <w:lang w:val="es-ES"/>
        </w:rPr>
        <w:t>Trends</w:t>
      </w:r>
      <w:proofErr w:type="spellEnd"/>
      <w:r w:rsidRPr="007A526F">
        <w:rPr>
          <w:lang w:val="es-ES"/>
        </w:rPr>
        <w:t xml:space="preserve"> in </w:t>
      </w:r>
      <w:proofErr w:type="spellStart"/>
      <w:r w:rsidRPr="007A526F">
        <w:rPr>
          <w:lang w:val="es-ES"/>
        </w:rPr>
        <w:t>Adult</w:t>
      </w:r>
      <w:proofErr w:type="spellEnd"/>
      <w:r w:rsidRPr="007A526F">
        <w:rPr>
          <w:lang w:val="es-ES"/>
        </w:rPr>
        <w:t xml:space="preserve"> </w:t>
      </w:r>
      <w:proofErr w:type="spellStart"/>
      <w:r w:rsidRPr="007A526F">
        <w:rPr>
          <w:lang w:val="es-ES"/>
        </w:rPr>
        <w:t>Learning</w:t>
      </w:r>
      <w:proofErr w:type="spellEnd"/>
      <w:r w:rsidRPr="007A526F">
        <w:rPr>
          <w:lang w:val="es-ES"/>
        </w:rPr>
        <w:t>” muestra que el aprendizaje no formal relacionado con el trabajo está dominado por capacitación de cumplimiento; la formación en salud y seguridad representa 18% y la formación en TI y habilidades digitales 14%, por lo que se requiere un énfasis mayor en habilidades digitales y técnicas para responder al mercado laboral [10]. Segundo, el mismo informe señala que 42% de las actividades de aprendizaje no formal dura un día o menos y 40% dura entre un día y una semana; una dependencia excesiva de cursos cortos limita la reconversión estructural y exige trayectorias modulares y acumulables [11].</w:t>
      </w:r>
    </w:p>
    <w:p w14:paraId="71824A16" w14:textId="77777777" w:rsidR="006A370F" w:rsidRDefault="00000000" w:rsidP="007A526F">
      <w:pPr>
        <w:spacing w:after="120"/>
        <w:ind w:firstLine="255"/>
        <w:jc w:val="both"/>
        <w:rPr>
          <w:lang w:val="es-ES"/>
        </w:rPr>
      </w:pPr>
      <w:r w:rsidRPr="007A526F">
        <w:rPr>
          <w:lang w:val="es-ES"/>
        </w:rPr>
        <w:lastRenderedPageBreak/>
        <w:t>Esta evidencia dialoga de forma directa con Chile. En “</w:t>
      </w:r>
      <w:proofErr w:type="spellStart"/>
      <w:r w:rsidRPr="007A526F">
        <w:rPr>
          <w:lang w:val="es-ES"/>
        </w:rPr>
        <w:t>Trends</w:t>
      </w:r>
      <w:proofErr w:type="spellEnd"/>
      <w:r w:rsidRPr="007A526F">
        <w:rPr>
          <w:lang w:val="es-ES"/>
        </w:rPr>
        <w:t xml:space="preserve"> in </w:t>
      </w:r>
      <w:proofErr w:type="spellStart"/>
      <w:r w:rsidRPr="007A526F">
        <w:rPr>
          <w:lang w:val="es-ES"/>
        </w:rPr>
        <w:t>Adult</w:t>
      </w:r>
      <w:proofErr w:type="spellEnd"/>
      <w:r w:rsidRPr="007A526F">
        <w:rPr>
          <w:lang w:val="es-ES"/>
        </w:rPr>
        <w:t xml:space="preserve"> </w:t>
      </w:r>
      <w:proofErr w:type="spellStart"/>
      <w:r w:rsidRPr="007A526F">
        <w:rPr>
          <w:lang w:val="es-ES"/>
        </w:rPr>
        <w:t>Learning</w:t>
      </w:r>
      <w:proofErr w:type="spellEnd"/>
      <w:r w:rsidRPr="007A526F">
        <w:rPr>
          <w:lang w:val="es-ES"/>
        </w:rPr>
        <w:t xml:space="preserve">”, la OCDE también observa que Chile está entre los países donde más trabajadores dicen aprender cosas nuevas a diario en el trabajo: 40% [11]. Pero ese dato no prueba suficiencia; prueba algo distinto: que el aprendizaje informal existe, aunque convive con brechas masivas de competencias básicas y digitales. Si un país aprende mucho “haciendo” y aun así mantiene bajos resultados en alfabetización, </w:t>
      </w:r>
      <w:proofErr w:type="spellStart"/>
      <w:r w:rsidRPr="007A526F">
        <w:rPr>
          <w:lang w:val="es-ES"/>
        </w:rPr>
        <w:t>numeracia</w:t>
      </w:r>
      <w:proofErr w:type="spellEnd"/>
      <w:r w:rsidRPr="007A526F">
        <w:rPr>
          <w:lang w:val="es-ES"/>
        </w:rPr>
        <w:t xml:space="preserve"> y resolución de problemas, la respuesta no es abandonar la capacitación estructurada; es combinar aprendizaje en el puesto con formación más profunda, certificable y orientada a tecnologías.</w:t>
      </w:r>
    </w:p>
    <w:p w14:paraId="2E612FD8" w14:textId="77777777" w:rsidR="006A370F" w:rsidRPr="007A526F" w:rsidRDefault="00000000" w:rsidP="007A526F">
      <w:pPr>
        <w:spacing w:after="120"/>
        <w:ind w:firstLine="255"/>
        <w:jc w:val="both"/>
        <w:rPr>
          <w:lang w:val="es-ES"/>
        </w:rPr>
      </w:pPr>
      <w:r w:rsidRPr="007A526F">
        <w:rPr>
          <w:lang w:val="es-ES"/>
        </w:rPr>
        <w:t>Además, los cuellos de botella son mayores en pymes. Eurostat informa que en 2024 solo 73% de las pymes europeas alcanzó un nivel básico de intensidad digital, por debajo de la meta 2030, y que 57,5% de las empresas que intentaron reclutar especialistas TIC reportó dificultades para cubrir vacantes [12][13]. Si incluso Europa —con sistemas de formación dual, marcos de cualificaciones y mayores capacidades estatales— mantiene brechas fuertes, es poco realista suponer que Chile puede enfrentar la transición digital sustituyendo financiamiento formal por aprendizaje espontáneo en el lugar de trabajo.</w:t>
      </w:r>
    </w:p>
    <w:p w14:paraId="61754310" w14:textId="77777777" w:rsidR="006A370F" w:rsidRPr="007A526F" w:rsidRDefault="00000000" w:rsidP="007A526F">
      <w:pPr>
        <w:pStyle w:val="BriefHeading"/>
        <w:jc w:val="both"/>
        <w:rPr>
          <w:lang w:val="es-ES"/>
        </w:rPr>
      </w:pPr>
      <w:r w:rsidRPr="007A526F">
        <w:rPr>
          <w:lang w:val="es-ES"/>
        </w:rPr>
        <w:t>4. Qué hacer: reformar la franquicia con estándar OCDE-UE en vez de eliminarla</w:t>
      </w:r>
    </w:p>
    <w:p w14:paraId="6A9AB598" w14:textId="77777777" w:rsidR="006A370F" w:rsidRPr="007A526F" w:rsidRDefault="00000000" w:rsidP="007A526F">
      <w:pPr>
        <w:spacing w:after="120"/>
        <w:ind w:firstLine="255"/>
        <w:jc w:val="both"/>
        <w:rPr>
          <w:lang w:val="es-ES"/>
        </w:rPr>
      </w:pPr>
      <w:r w:rsidRPr="007A526F">
        <w:rPr>
          <w:lang w:val="es-ES"/>
        </w:rPr>
        <w:t xml:space="preserve">La conclusión de política pública es clara: el mal desempeño observado no justifica eliminar la franquicia; justifica aumentar la capacidad estatal para corregirla. La “OECD </w:t>
      </w:r>
      <w:proofErr w:type="spellStart"/>
      <w:r w:rsidRPr="007A526F">
        <w:rPr>
          <w:lang w:val="es-ES"/>
        </w:rPr>
        <w:t>Employment</w:t>
      </w:r>
      <w:proofErr w:type="spellEnd"/>
      <w:r w:rsidRPr="007A526F">
        <w:rPr>
          <w:lang w:val="es-ES"/>
        </w:rPr>
        <w:t xml:space="preserve"> Outlook 2025” recuerda que los retornos sociales de la capacitación y la subinversión privada en formación constituyen razones suficientes para la intervención del Estado [14]. En un contexto de transición digital, ese argumento es aún más fuerte: las empresas </w:t>
      </w:r>
      <w:proofErr w:type="spellStart"/>
      <w:r w:rsidRPr="007A526F">
        <w:rPr>
          <w:lang w:val="es-ES"/>
        </w:rPr>
        <w:t>subinvierten</w:t>
      </w:r>
      <w:proofErr w:type="spellEnd"/>
      <w:r w:rsidRPr="007A526F">
        <w:rPr>
          <w:lang w:val="es-ES"/>
        </w:rPr>
        <w:t xml:space="preserve"> porque no capturan todos los beneficios de la capacitación y porque temen rotación laboral; las personas </w:t>
      </w:r>
      <w:proofErr w:type="spellStart"/>
      <w:r w:rsidRPr="007A526F">
        <w:rPr>
          <w:lang w:val="es-ES"/>
        </w:rPr>
        <w:t>subinvierten</w:t>
      </w:r>
      <w:proofErr w:type="spellEnd"/>
      <w:r w:rsidRPr="007A526F">
        <w:rPr>
          <w:lang w:val="es-ES"/>
        </w:rPr>
        <w:t xml:space="preserve"> por restricciones de tiempo, costo e información.</w:t>
      </w:r>
    </w:p>
    <w:p w14:paraId="4C3580EE" w14:textId="77777777" w:rsidR="006A370F" w:rsidRPr="007A526F" w:rsidRDefault="00000000" w:rsidP="007A526F">
      <w:pPr>
        <w:spacing w:after="120"/>
        <w:ind w:firstLine="255"/>
        <w:jc w:val="both"/>
        <w:rPr>
          <w:lang w:val="es-ES"/>
        </w:rPr>
      </w:pPr>
      <w:r w:rsidRPr="007A526F">
        <w:rPr>
          <w:lang w:val="es-ES"/>
        </w:rPr>
        <w:t>Un rediseño consistente con buenas prácticas internacionales debiera contener al menos seis componentes. Primero, focalización reforzada hacia MiPymes, mediante un cofinanciamiento más alto, asistencia técnica y ventanillas simples. Los datos europeos muestran que las empresas pequeñas adoptan menos herramientas digitales y contratan menos especialistas TIC que las grandes [12]. Segundo, acreditación y financiamiento por resultados: no basta certificar asistencia; debe exigirse evidencia de aprendizaje, tasas de completitud, evaluación ex post y pertinencia ocupacional. La propia modernización normativa del SENCE en 2026, al eliminar la modalidad de autoaprendizaje a distancia por debilidades de control y aseguramiento de calidad, ya apunta en esa dirección [15].</w:t>
      </w:r>
    </w:p>
    <w:p w14:paraId="3B9FF5D7" w14:textId="77777777" w:rsidR="006A370F" w:rsidRPr="007A526F" w:rsidRDefault="00000000" w:rsidP="007A526F">
      <w:pPr>
        <w:spacing w:after="120"/>
        <w:ind w:firstLine="255"/>
        <w:jc w:val="both"/>
        <w:rPr>
          <w:lang w:val="es-ES"/>
        </w:rPr>
      </w:pPr>
      <w:r w:rsidRPr="007A526F">
        <w:rPr>
          <w:lang w:val="es-ES"/>
        </w:rPr>
        <w:t xml:space="preserve">Tercero, </w:t>
      </w:r>
      <w:proofErr w:type="spellStart"/>
      <w:r w:rsidRPr="007A526F">
        <w:rPr>
          <w:lang w:val="es-ES"/>
        </w:rPr>
        <w:t>modularización</w:t>
      </w:r>
      <w:proofErr w:type="spellEnd"/>
      <w:r w:rsidRPr="007A526F">
        <w:rPr>
          <w:lang w:val="es-ES"/>
        </w:rPr>
        <w:t xml:space="preserve"> y credenciales apilables. La OCDE y </w:t>
      </w:r>
      <w:proofErr w:type="spellStart"/>
      <w:r w:rsidRPr="007A526F">
        <w:rPr>
          <w:lang w:val="es-ES"/>
        </w:rPr>
        <w:t>Cedefop</w:t>
      </w:r>
      <w:proofErr w:type="spellEnd"/>
      <w:r w:rsidRPr="007A526F">
        <w:rPr>
          <w:lang w:val="es-ES"/>
        </w:rPr>
        <w:t xml:space="preserve"> convergen en que el aprendizaje adulto debe articular cursos breves con rutas más largas y reconocibles, especialmente para </w:t>
      </w:r>
      <w:proofErr w:type="spellStart"/>
      <w:r w:rsidRPr="007A526F">
        <w:rPr>
          <w:lang w:val="es-ES"/>
        </w:rPr>
        <w:t>reskilling</w:t>
      </w:r>
      <w:proofErr w:type="spellEnd"/>
      <w:r w:rsidRPr="007A526F">
        <w:rPr>
          <w:lang w:val="es-ES"/>
        </w:rPr>
        <w:t xml:space="preserve"> tecnológico [9][11]. Cuarto, priorización explícita de habilidades digitales, datos, automatización, ciberseguridad, IA aplicada y competencias complementarias —gestión, resolución de problemas y comunicación—, en línea con la evidencia de “Artificial </w:t>
      </w:r>
      <w:proofErr w:type="spellStart"/>
      <w:r w:rsidRPr="007A526F">
        <w:rPr>
          <w:lang w:val="es-ES"/>
        </w:rPr>
        <w:t>intelligence</w:t>
      </w:r>
      <w:proofErr w:type="spellEnd"/>
      <w:r w:rsidRPr="007A526F">
        <w:rPr>
          <w:lang w:val="es-ES"/>
        </w:rPr>
        <w:t xml:space="preserve"> and </w:t>
      </w:r>
      <w:proofErr w:type="spellStart"/>
      <w:r w:rsidRPr="007A526F">
        <w:rPr>
          <w:lang w:val="es-ES"/>
        </w:rPr>
        <w:t>the</w:t>
      </w:r>
      <w:proofErr w:type="spellEnd"/>
      <w:r w:rsidRPr="007A526F">
        <w:rPr>
          <w:lang w:val="es-ES"/>
        </w:rPr>
        <w:t xml:space="preserve"> </w:t>
      </w:r>
      <w:proofErr w:type="spellStart"/>
      <w:r w:rsidRPr="007A526F">
        <w:rPr>
          <w:lang w:val="es-ES"/>
        </w:rPr>
        <w:t>changing</w:t>
      </w:r>
      <w:proofErr w:type="spellEnd"/>
      <w:r w:rsidRPr="007A526F">
        <w:rPr>
          <w:lang w:val="es-ES"/>
        </w:rPr>
        <w:t xml:space="preserve"> </w:t>
      </w:r>
      <w:proofErr w:type="spellStart"/>
      <w:r w:rsidRPr="007A526F">
        <w:rPr>
          <w:lang w:val="es-ES"/>
        </w:rPr>
        <w:t>demand</w:t>
      </w:r>
      <w:proofErr w:type="spellEnd"/>
      <w:r w:rsidRPr="007A526F">
        <w:rPr>
          <w:lang w:val="es-ES"/>
        </w:rPr>
        <w:t xml:space="preserve"> </w:t>
      </w:r>
      <w:proofErr w:type="spellStart"/>
      <w:r w:rsidRPr="007A526F">
        <w:rPr>
          <w:lang w:val="es-ES"/>
        </w:rPr>
        <w:t>for</w:t>
      </w:r>
      <w:proofErr w:type="spellEnd"/>
      <w:r w:rsidRPr="007A526F">
        <w:rPr>
          <w:lang w:val="es-ES"/>
        </w:rPr>
        <w:t xml:space="preserve"> </w:t>
      </w:r>
      <w:proofErr w:type="spellStart"/>
      <w:r w:rsidRPr="007A526F">
        <w:rPr>
          <w:lang w:val="es-ES"/>
        </w:rPr>
        <w:t>skills</w:t>
      </w:r>
      <w:proofErr w:type="spellEnd"/>
      <w:r w:rsidRPr="007A526F">
        <w:rPr>
          <w:lang w:val="es-ES"/>
        </w:rPr>
        <w:t xml:space="preserve"> in </w:t>
      </w:r>
      <w:proofErr w:type="spellStart"/>
      <w:r w:rsidRPr="007A526F">
        <w:rPr>
          <w:lang w:val="es-ES"/>
        </w:rPr>
        <w:t>the</w:t>
      </w:r>
      <w:proofErr w:type="spellEnd"/>
      <w:r w:rsidRPr="007A526F">
        <w:rPr>
          <w:lang w:val="es-ES"/>
        </w:rPr>
        <w:t xml:space="preserve"> </w:t>
      </w:r>
      <w:proofErr w:type="spellStart"/>
      <w:r w:rsidRPr="007A526F">
        <w:rPr>
          <w:lang w:val="es-ES"/>
        </w:rPr>
        <w:t>labour</w:t>
      </w:r>
      <w:proofErr w:type="spellEnd"/>
      <w:r w:rsidRPr="007A526F">
        <w:rPr>
          <w:lang w:val="es-ES"/>
        </w:rPr>
        <w:t xml:space="preserve"> </w:t>
      </w:r>
      <w:proofErr w:type="spellStart"/>
      <w:r w:rsidRPr="007A526F">
        <w:rPr>
          <w:lang w:val="es-ES"/>
        </w:rPr>
        <w:t>market</w:t>
      </w:r>
      <w:proofErr w:type="spellEnd"/>
      <w:r w:rsidRPr="007A526F">
        <w:rPr>
          <w:lang w:val="es-ES"/>
        </w:rPr>
        <w:t>” [6]. Quinto, integración con reconocimiento de aprendizajes previos y certificación de competencias, para que el aprendizaje en el trabajo no desaparezca, sino que quede conectado a una ruta formal de progresión. Sexto, gobernanza basada en datos: seguimiento por curso, OTEC, empresa, tamaño de firma, región, ocupación y resultados laborales.</w:t>
      </w:r>
    </w:p>
    <w:p w14:paraId="02A7089C" w14:textId="461C693F" w:rsidR="006A370F" w:rsidRPr="007A526F" w:rsidRDefault="004C7CD5" w:rsidP="007A526F">
      <w:pPr>
        <w:spacing w:after="120"/>
        <w:ind w:firstLine="255"/>
        <w:jc w:val="both"/>
        <w:rPr>
          <w:lang w:val="es-ES"/>
        </w:rPr>
      </w:pPr>
      <w:r>
        <w:rPr>
          <w:lang w:val="es-ES"/>
        </w:rPr>
        <w:t>Así</w:t>
      </w:r>
      <w:r w:rsidRPr="007A526F">
        <w:rPr>
          <w:lang w:val="es-ES"/>
        </w:rPr>
        <w:t xml:space="preserve">, la opción razonable para Chile no es elegir entre statu quo y eliminación. Es pasar desde una franquicia amplia, pero imperfectamente focalizada, a una franquicia selectiva, evaluable y orientada al desafío productivo central de la próxima década: formar capital humano para una economía donde la ventaja competitiva dependerá cada vez más de software, datos, conectividad, automatización e inteligencia artificial. Eliminar el instrumento puede mejorar la caja fiscal de corto plazo; reformarlo y </w:t>
      </w:r>
      <w:r w:rsidRPr="007A526F">
        <w:rPr>
          <w:lang w:val="es-ES"/>
        </w:rPr>
        <w:lastRenderedPageBreak/>
        <w:t>ampliarlo estratégicamente mejora la productividad, la movilidad laboral y la resiliencia tecnológica del país.</w:t>
      </w:r>
    </w:p>
    <w:p w14:paraId="5D01F16E" w14:textId="77777777" w:rsidR="006A370F" w:rsidRPr="007A526F" w:rsidRDefault="00000000" w:rsidP="007A526F">
      <w:pPr>
        <w:pStyle w:val="BriefHeading"/>
        <w:jc w:val="both"/>
        <w:rPr>
          <w:lang w:val="es-ES"/>
        </w:rPr>
      </w:pPr>
      <w:r w:rsidRPr="007A526F">
        <w:rPr>
          <w:lang w:val="es-ES"/>
        </w:rPr>
        <w:t>Referencias</w:t>
      </w:r>
    </w:p>
    <w:p w14:paraId="2E9801F9" w14:textId="77777777" w:rsidR="006A370F" w:rsidRPr="007A526F" w:rsidRDefault="00000000" w:rsidP="007A526F">
      <w:pPr>
        <w:pStyle w:val="Reference"/>
        <w:ind w:left="113"/>
        <w:jc w:val="both"/>
        <w:rPr>
          <w:lang w:val="es-ES"/>
        </w:rPr>
      </w:pPr>
      <w:r w:rsidRPr="00F92F90">
        <w:rPr>
          <w:lang w:val="es-ES"/>
        </w:rPr>
        <w:t xml:space="preserve">[1] La Tercera, Pulso (2026), “Hacienda eliminará franquicia tributaria del </w:t>
      </w:r>
      <w:proofErr w:type="spellStart"/>
      <w:r w:rsidRPr="00F92F90">
        <w:rPr>
          <w:lang w:val="es-ES"/>
        </w:rPr>
        <w:t>Sence</w:t>
      </w:r>
      <w:proofErr w:type="spellEnd"/>
      <w:r w:rsidRPr="00F92F90">
        <w:rPr>
          <w:lang w:val="es-ES"/>
        </w:rPr>
        <w:t xml:space="preserve"> y genera debate entre exautoridades”, 17 de abril de 2026. https://www.latercera.com/pulso/noticia/hacienda-eliminara-franquicia-tributaria-del-sence-y-genera-debate-entre-exautoridades/</w:t>
      </w:r>
    </w:p>
    <w:p w14:paraId="1890855A" w14:textId="77777777" w:rsidR="006A370F" w:rsidRPr="007A526F" w:rsidRDefault="00000000" w:rsidP="007A526F">
      <w:pPr>
        <w:pStyle w:val="Reference"/>
        <w:ind w:left="113"/>
        <w:jc w:val="both"/>
        <w:rPr>
          <w:lang w:val="es-ES"/>
        </w:rPr>
      </w:pPr>
      <w:r w:rsidRPr="00F92F90">
        <w:rPr>
          <w:lang w:val="es-ES"/>
        </w:rPr>
        <w:t xml:space="preserve">[2] </w:t>
      </w:r>
      <w:proofErr w:type="spellStart"/>
      <w:r w:rsidRPr="00F92F90">
        <w:rPr>
          <w:lang w:val="es-ES"/>
        </w:rPr>
        <w:t>BioBioChile</w:t>
      </w:r>
      <w:proofErr w:type="spellEnd"/>
      <w:r w:rsidRPr="00F92F90">
        <w:rPr>
          <w:lang w:val="es-ES"/>
        </w:rPr>
        <w:t xml:space="preserve"> (2026), “Organismos de capacitación advierten crisis de empleabilidad por eventual fin de franquicia </w:t>
      </w:r>
      <w:proofErr w:type="spellStart"/>
      <w:r w:rsidRPr="00F92F90">
        <w:rPr>
          <w:lang w:val="es-ES"/>
        </w:rPr>
        <w:t>Sence</w:t>
      </w:r>
      <w:proofErr w:type="spellEnd"/>
      <w:r w:rsidRPr="00F92F90">
        <w:rPr>
          <w:lang w:val="es-ES"/>
        </w:rPr>
        <w:t>”, 17 de abril de 2026. https://www.biobiochile.cl/noticias/economia/actualidad-economica/2026/04/17/organismos-de-capacitacion-advierten-crisis-de-empleabilidad-por-eventual-fin-de-franquicia-sence.shtml</w:t>
      </w:r>
    </w:p>
    <w:p w14:paraId="7B5883A4" w14:textId="77777777" w:rsidR="006A370F" w:rsidRDefault="00000000" w:rsidP="007A526F">
      <w:pPr>
        <w:pStyle w:val="Reference"/>
        <w:ind w:left="113"/>
        <w:jc w:val="both"/>
      </w:pPr>
      <w:r>
        <w:t>[3] OECD (2025), OECD Economic Surveys: Chile 2025, OECD Publishing, Paris. https://doi.org/10.1787/efad96ce-en</w:t>
      </w:r>
    </w:p>
    <w:p w14:paraId="0DBF2264" w14:textId="77777777" w:rsidR="006A370F" w:rsidRDefault="00000000" w:rsidP="007A526F">
      <w:pPr>
        <w:pStyle w:val="Reference"/>
        <w:ind w:left="113"/>
        <w:jc w:val="both"/>
      </w:pPr>
      <w:r>
        <w:t>[4] OECD (2026), Foundations for Growth and Competitiveness 2026, chapter “Chile”, OECD Publishing, Paris. https://doi.org/10.1787/40a7532f-en</w:t>
      </w:r>
    </w:p>
    <w:p w14:paraId="78971AE2" w14:textId="77777777" w:rsidR="006A370F" w:rsidRPr="007A526F" w:rsidRDefault="00000000" w:rsidP="007A526F">
      <w:pPr>
        <w:pStyle w:val="Reference"/>
        <w:ind w:left="113"/>
        <w:jc w:val="both"/>
        <w:rPr>
          <w:lang w:val="es-ES"/>
        </w:rPr>
      </w:pPr>
      <w:r w:rsidRPr="00F92F90">
        <w:rPr>
          <w:lang w:val="es-ES"/>
        </w:rPr>
        <w:t>[5] OECD (2024), Evaluación de Competencias de la Población Adulta 2023: Chile, OECD Publishing, Paris. https://www.oecd.org/es/publications/evaluacion-de-competencias-de-la-poblacion-adulta-2023_f79f56e3-es/chile_dbf64059-es</w:t>
      </w:r>
    </w:p>
    <w:p w14:paraId="57EF5805" w14:textId="77777777" w:rsidR="006A370F" w:rsidRDefault="00000000" w:rsidP="007A526F">
      <w:pPr>
        <w:pStyle w:val="Reference"/>
        <w:ind w:left="113"/>
        <w:jc w:val="both"/>
      </w:pPr>
      <w:r>
        <w:t>[6] Green, A. (2024), “Artificial intelligence and the changing demand for skills in the labour market”, OECD Artificial Intelligence Papers, No. 14, OECD Publishing, Paris. https://doi.org/10.1787/88684e36-en</w:t>
      </w:r>
    </w:p>
    <w:p w14:paraId="1410A4B1" w14:textId="77777777" w:rsidR="006A370F" w:rsidRDefault="00000000" w:rsidP="007A526F">
      <w:pPr>
        <w:pStyle w:val="Reference"/>
        <w:ind w:left="113"/>
        <w:jc w:val="both"/>
      </w:pPr>
      <w:r>
        <w:t>[7] OECD (2026), “AI and work”, OECD thematic webpage. https://www.oecd.org/en/topics/ai-and-work.html</w:t>
      </w:r>
    </w:p>
    <w:p w14:paraId="5D8ACADA" w14:textId="77777777" w:rsidR="006A370F" w:rsidRDefault="00000000" w:rsidP="007A526F">
      <w:pPr>
        <w:pStyle w:val="Reference"/>
        <w:ind w:left="113"/>
        <w:jc w:val="both"/>
      </w:pPr>
      <w:r>
        <w:t>[8] World Bank Group and International Labour Organization (2024), Generative AI and Jobs in Latin America and the Caribbean: Is the Digital Divide a Buffer or Bottleneck? https://www.worldbank.org/en/topic/poverty/publication/generative-ai-and-jobs-in-lac</w:t>
      </w:r>
    </w:p>
    <w:p w14:paraId="30950203" w14:textId="77777777" w:rsidR="006A370F" w:rsidRDefault="00000000" w:rsidP="007A526F">
      <w:pPr>
        <w:pStyle w:val="Reference"/>
        <w:ind w:left="113"/>
        <w:jc w:val="both"/>
      </w:pPr>
      <w:r>
        <w:t>[9] Cedefop (2025), Towards organisations as learning workplaces: moving beyond certified, institutionalised continuing vocational education and training, Policy Brief, Publications Office of the European Union. https://www.cedefop.europa.eu/en/publications/9203</w:t>
      </w:r>
    </w:p>
    <w:p w14:paraId="5F7AE762" w14:textId="77777777" w:rsidR="006A370F" w:rsidRPr="00F92F90" w:rsidRDefault="00000000" w:rsidP="007A526F">
      <w:pPr>
        <w:pStyle w:val="Reference"/>
        <w:ind w:left="113"/>
        <w:jc w:val="both"/>
      </w:pPr>
      <w:r>
        <w:t>[10] OECD (2025), Trends in Adult Learning: New Data from the 2023 Survey of Adult Skills, Getting Skills Right, OECD Publishing, Paris. https://doi.org/10.1787/ec0624a6-en</w:t>
      </w:r>
    </w:p>
    <w:p w14:paraId="090B8095" w14:textId="77777777" w:rsidR="006A370F" w:rsidRDefault="00000000" w:rsidP="007A526F">
      <w:pPr>
        <w:pStyle w:val="Reference"/>
        <w:ind w:left="113"/>
        <w:jc w:val="both"/>
      </w:pPr>
      <w:r>
        <w:t>[11] OECD (2025), “Where, what and how are adults learning?”, in Trends in Adult Learning: New Data from the 2023 Survey of Adult Skills, Getting Skills Right, OECD Publishing, Paris. https://www.oecd.org/en/publications/trends-in-adult-learning_ec0624a6-en/full-report/where-what-and-how-are-adults-learning_59e53872.html</w:t>
      </w:r>
    </w:p>
    <w:p w14:paraId="19508FC6" w14:textId="77777777" w:rsidR="006A370F" w:rsidRDefault="00000000" w:rsidP="007A526F">
      <w:pPr>
        <w:pStyle w:val="Reference"/>
        <w:ind w:left="113"/>
        <w:jc w:val="both"/>
      </w:pPr>
      <w:r>
        <w:t>[12] Eurostat (2025), Digitalisation in Europe – 2025 edition. https://ec.europa.eu/eurostat/web/interactive-publications/digitalisation-2025</w:t>
      </w:r>
    </w:p>
    <w:p w14:paraId="42A868E2" w14:textId="77777777" w:rsidR="006A370F" w:rsidRDefault="00000000" w:rsidP="007A526F">
      <w:pPr>
        <w:pStyle w:val="Reference"/>
        <w:ind w:left="113"/>
        <w:jc w:val="both"/>
      </w:pPr>
      <w:r>
        <w:t>[13] Eurostat (2025), ICT specialists - statistics on hard-to-fill vacancies in enterprises. Data extracted in June 2025. https://ec.europa.eu/eurostat/statistics-explained/SEPDF/cache/40327.pdf</w:t>
      </w:r>
    </w:p>
    <w:p w14:paraId="51CC8AA8" w14:textId="77777777" w:rsidR="006A370F" w:rsidRDefault="00000000" w:rsidP="007A526F">
      <w:pPr>
        <w:pStyle w:val="Reference"/>
        <w:ind w:left="113"/>
        <w:jc w:val="both"/>
      </w:pPr>
      <w:r>
        <w:t>[14] OECD (2025), OECD Employment Outlook 2025: Can We Get Through the Demographic Crunch?, chapter “Staying in the game: Skills and jobs of older workers in a changing labour market”, OECD Publishing, Paris. https://doi.org/10.1787/194a947b-en</w:t>
      </w:r>
    </w:p>
    <w:p w14:paraId="2EF01FBB" w14:textId="77777777" w:rsidR="006A370F" w:rsidRPr="007A526F" w:rsidRDefault="00000000" w:rsidP="007A526F">
      <w:pPr>
        <w:pStyle w:val="Reference"/>
        <w:ind w:left="113"/>
        <w:jc w:val="both"/>
        <w:rPr>
          <w:lang w:val="es-ES"/>
        </w:rPr>
      </w:pPr>
      <w:r w:rsidRPr="00F92F90">
        <w:rPr>
          <w:lang w:val="es-ES"/>
        </w:rPr>
        <w:t>[15] SENCE (2026), “SENCE modifica normativa de Franquicia Tributaria y elimina modalidad de capacitación a distancia por autoaprendizaje”. https://sence.gob.cl/personas/noticias/sence-modifica-normativa-de-franquicia-tributaria-y-elimina-modalidad-de-capacitacion-distancia-por-autoaprendizaje</w:t>
      </w:r>
    </w:p>
    <w:p w14:paraId="4CFE1476" w14:textId="77777777" w:rsidR="006A370F" w:rsidRPr="007A526F" w:rsidRDefault="00000000" w:rsidP="007A526F">
      <w:pPr>
        <w:pStyle w:val="Reference"/>
        <w:ind w:left="113"/>
        <w:jc w:val="both"/>
        <w:rPr>
          <w:lang w:val="es-ES"/>
        </w:rPr>
      </w:pPr>
      <w:r w:rsidRPr="00F92F90">
        <w:rPr>
          <w:lang w:val="es-ES"/>
        </w:rPr>
        <w:t>[16] Dirección de Presupuestos (2025), Evaluación de Impacto Franquicia Tributaria. Ministerio de Hacienda, Gobierno de Chile.</w:t>
      </w:r>
    </w:p>
    <w:p w14:paraId="4A63D04D" w14:textId="77777777" w:rsidR="006A370F" w:rsidRPr="00F92F90" w:rsidRDefault="00000000" w:rsidP="007A526F">
      <w:pPr>
        <w:pStyle w:val="Reference"/>
        <w:ind w:left="113"/>
        <w:jc w:val="both"/>
        <w:rPr>
          <w:lang w:val="es-ES"/>
        </w:rPr>
      </w:pPr>
      <w:r w:rsidRPr="00F92F90">
        <w:rPr>
          <w:lang w:val="es-ES"/>
        </w:rPr>
        <w:t>[17] Servicio Nacional de Capacitación y Empleo (2024), Anuario Estadístico 2024, cuadro A.19, “Distribución de participantes aprobados por área de capacitación y gasto en capacitación”.</w:t>
      </w:r>
    </w:p>
    <w:sectPr w:rsidR="006A370F" w:rsidRPr="00F92F90" w:rsidSect="00034616">
      <w:footerReference w:type="default" r:id="rId8"/>
      <w:pgSz w:w="12240" w:h="15840"/>
      <w:pgMar w:top="1247" w:right="1304" w:bottom="113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E2E45" w14:textId="77777777" w:rsidR="008F3EDC" w:rsidRDefault="008F3EDC">
      <w:pPr>
        <w:spacing w:after="0" w:line="240" w:lineRule="auto"/>
      </w:pPr>
      <w:r>
        <w:separator/>
      </w:r>
    </w:p>
  </w:endnote>
  <w:endnote w:type="continuationSeparator" w:id="0">
    <w:p w14:paraId="79947F39" w14:textId="77777777" w:rsidR="008F3EDC" w:rsidRDefault="008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6D4B" w14:textId="2B20DD9E" w:rsidR="006A370F" w:rsidRPr="007A526F" w:rsidRDefault="007A526F">
    <w:pPr>
      <w:pStyle w:val="Footer"/>
      <w:jc w:val="center"/>
      <w:rPr>
        <w:lang w:val="es-ES"/>
      </w:rPr>
    </w:pPr>
    <w:r>
      <w:rPr>
        <w:color w:val="646464"/>
        <w:sz w:val="16"/>
        <w:lang w:val="es-ES"/>
      </w:rPr>
      <w:t>Escuela de Informática y Telecomunicaciones – Universidad Diego Portales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86D1" w14:textId="77777777" w:rsidR="008F3EDC" w:rsidRDefault="008F3EDC">
      <w:pPr>
        <w:spacing w:after="0" w:line="240" w:lineRule="auto"/>
      </w:pPr>
      <w:r>
        <w:separator/>
      </w:r>
    </w:p>
  </w:footnote>
  <w:footnote w:type="continuationSeparator" w:id="0">
    <w:p w14:paraId="288FFA7F" w14:textId="77777777" w:rsidR="008F3EDC" w:rsidRDefault="008F3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7366744">
    <w:abstractNumId w:val="8"/>
  </w:num>
  <w:num w:numId="2" w16cid:durableId="1352802190">
    <w:abstractNumId w:val="6"/>
  </w:num>
  <w:num w:numId="3" w16cid:durableId="1787041474">
    <w:abstractNumId w:val="5"/>
  </w:num>
  <w:num w:numId="4" w16cid:durableId="840588196">
    <w:abstractNumId w:val="4"/>
  </w:num>
  <w:num w:numId="5" w16cid:durableId="865874482">
    <w:abstractNumId w:val="7"/>
  </w:num>
  <w:num w:numId="6" w16cid:durableId="417097851">
    <w:abstractNumId w:val="3"/>
  </w:num>
  <w:num w:numId="7" w16cid:durableId="1352992672">
    <w:abstractNumId w:val="2"/>
  </w:num>
  <w:num w:numId="8" w16cid:durableId="1209564974">
    <w:abstractNumId w:val="1"/>
  </w:num>
  <w:num w:numId="9" w16cid:durableId="23652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D34"/>
    <w:rsid w:val="0006063C"/>
    <w:rsid w:val="00083214"/>
    <w:rsid w:val="000D474E"/>
    <w:rsid w:val="0015074B"/>
    <w:rsid w:val="00176E72"/>
    <w:rsid w:val="0029639D"/>
    <w:rsid w:val="00324F17"/>
    <w:rsid w:val="00326F90"/>
    <w:rsid w:val="004C7CD5"/>
    <w:rsid w:val="006A370F"/>
    <w:rsid w:val="00757BE5"/>
    <w:rsid w:val="007A526F"/>
    <w:rsid w:val="007E046E"/>
    <w:rsid w:val="008F3EDC"/>
    <w:rsid w:val="00917889"/>
    <w:rsid w:val="00AA1D8D"/>
    <w:rsid w:val="00AC79A1"/>
    <w:rsid w:val="00B22F42"/>
    <w:rsid w:val="00B47730"/>
    <w:rsid w:val="00CB0664"/>
    <w:rsid w:val="00D14CE1"/>
    <w:rsid w:val="00F92F9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C3523"/>
  <w14:defaultImageDpi w14:val="300"/>
  <w15:docId w15:val="{7742F4F8-A5C7-5948-B781-217C4FDB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riefHeading">
    <w:name w:val="Brief Heading"/>
    <w:basedOn w:val="Heading1"/>
    <w:pPr>
      <w:spacing w:before="240" w:after="80"/>
    </w:pPr>
    <w:rPr>
      <w:rFonts w:ascii="Aptos" w:hAnsi="Aptos"/>
      <w:color w:val="1F4E79"/>
      <w:sz w:val="25"/>
    </w:rPr>
  </w:style>
  <w:style w:type="paragraph" w:customStyle="1" w:styleId="BriefSubheading">
    <w:name w:val="Brief Subheading"/>
    <w:basedOn w:val="Heading2"/>
    <w:pPr>
      <w:spacing w:before="160" w:after="60"/>
    </w:pPr>
    <w:rPr>
      <w:rFonts w:ascii="Aptos" w:hAnsi="Aptos"/>
      <w:color w:val="3C3C3C"/>
      <w:sz w:val="22"/>
    </w:rPr>
  </w:style>
  <w:style w:type="paragraph" w:customStyle="1" w:styleId="Reference">
    <w:name w:val="Reference"/>
    <w:basedOn w:val="Normal"/>
    <w:pPr>
      <w:spacing w:after="6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2542</Words>
  <Characters>15804</Characters>
  <Application>Microsoft Office Word</Application>
  <DocSecurity>0</DocSecurity>
  <Lines>218</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Luciano Ahumada Fierro</cp:lastModifiedBy>
  <cp:revision>3</cp:revision>
  <dcterms:created xsi:type="dcterms:W3CDTF">2026-04-17T17:15:00Z</dcterms:created>
  <dcterms:modified xsi:type="dcterms:W3CDTF">2026-04-17T17:20:00Z</dcterms:modified>
  <cp:category/>
</cp:coreProperties>
</file>