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D486" w14:textId="77777777" w:rsidR="00D94BEC" w:rsidRPr="00D94BEC" w:rsidRDefault="00D94BEC" w:rsidP="00D94BE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4D4D4D"/>
          <w:kern w:val="36"/>
          <w:sz w:val="45"/>
          <w:szCs w:val="45"/>
          <w:lang w:eastAsia="es-CL"/>
          <w14:ligatures w14:val="none"/>
        </w:rPr>
      </w:pPr>
      <w:r w:rsidRPr="00D94BEC">
        <w:rPr>
          <w:rFonts w:ascii="Roboto" w:eastAsia="Times New Roman" w:hAnsi="Roboto" w:cs="Times New Roman"/>
          <w:b/>
          <w:bCs/>
          <w:color w:val="4D4D4D"/>
          <w:kern w:val="36"/>
          <w:sz w:val="45"/>
          <w:szCs w:val="45"/>
          <w:lang w:eastAsia="es-CL"/>
          <w14:ligatures w14:val="none"/>
        </w:rPr>
        <w:t>Alcalde Soto presenta querella contra OTEC por irregularidades en capacitaciones</w:t>
      </w:r>
    </w:p>
    <w:p w14:paraId="2801D54C" w14:textId="77777777" w:rsidR="00D94BEC" w:rsidRPr="00D94BEC" w:rsidRDefault="00D94BEC" w:rsidP="00D94BEC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666666"/>
          <w:kern w:val="0"/>
          <w:sz w:val="23"/>
          <w:szCs w:val="23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666666"/>
          <w:kern w:val="0"/>
          <w:sz w:val="23"/>
          <w:szCs w:val="23"/>
          <w:bdr w:val="none" w:sz="0" w:space="0" w:color="auto" w:frame="1"/>
          <w:lang w:eastAsia="es-CL"/>
          <w14:ligatures w14:val="none"/>
        </w:rPr>
        <w:t xml:space="preserve">18 </w:t>
      </w:r>
      <w:proofErr w:type="gramStart"/>
      <w:r w:rsidRPr="00D94BEC">
        <w:rPr>
          <w:rFonts w:ascii="inherit" w:eastAsia="Times New Roman" w:hAnsi="inherit" w:cs="Times New Roman"/>
          <w:color w:val="666666"/>
          <w:kern w:val="0"/>
          <w:sz w:val="23"/>
          <w:szCs w:val="23"/>
          <w:bdr w:val="none" w:sz="0" w:space="0" w:color="auto" w:frame="1"/>
          <w:lang w:eastAsia="es-CL"/>
          <w14:ligatures w14:val="none"/>
        </w:rPr>
        <w:t>Enero</w:t>
      </w:r>
      <w:proofErr w:type="gramEnd"/>
      <w:r w:rsidRPr="00D94BEC">
        <w:rPr>
          <w:rFonts w:ascii="inherit" w:eastAsia="Times New Roman" w:hAnsi="inherit" w:cs="Times New Roman"/>
          <w:color w:val="666666"/>
          <w:kern w:val="0"/>
          <w:sz w:val="23"/>
          <w:szCs w:val="23"/>
          <w:bdr w:val="none" w:sz="0" w:space="0" w:color="auto" w:frame="1"/>
          <w:lang w:eastAsia="es-CL"/>
          <w14:ligatures w14:val="none"/>
        </w:rPr>
        <w:t xml:space="preserve"> 2012</w:t>
      </w:r>
    </w:p>
    <w:p w14:paraId="69609C6C" w14:textId="77777777" w:rsidR="00D94BEC" w:rsidRPr="00D94BEC" w:rsidRDefault="00D94BEC" w:rsidP="00D94B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B96631"/>
          <w:kern w:val="0"/>
          <w:sz w:val="24"/>
          <w:szCs w:val="24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i/>
          <w:iCs/>
          <w:color w:val="B96631"/>
          <w:kern w:val="0"/>
          <w:sz w:val="24"/>
          <w:szCs w:val="24"/>
          <w:bdr w:val="none" w:sz="0" w:space="0" w:color="auto" w:frame="1"/>
          <w:lang w:eastAsia="es-CL"/>
          <w14:ligatures w14:val="none"/>
        </w:rPr>
        <w:t>La entidad cuestionada certificó la presencia de docentes de la Corporación Municipal en cursos de capacitación a los que en realidad no asistieron,</w:t>
      </w:r>
    </w:p>
    <w:p w14:paraId="3A5DD6F1" w14:textId="1B154836" w:rsidR="00D94BEC" w:rsidRPr="00D94BEC" w:rsidRDefault="00D94BEC" w:rsidP="00D94BEC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noProof/>
          <w:color w:val="4D4D4D"/>
          <w:kern w:val="0"/>
          <w:sz w:val="21"/>
          <w:szCs w:val="21"/>
          <w:lang w:eastAsia="es-CL"/>
          <w14:ligatures w14:val="none"/>
        </w:rPr>
        <w:drawing>
          <wp:inline distT="0" distB="0" distL="0" distR="0" wp14:anchorId="657C7C76" wp14:editId="23E81FB6">
            <wp:extent cx="480060" cy="480060"/>
            <wp:effectExtent l="0" t="0" r="0" b="0"/>
            <wp:docPr id="15257962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BB11F" w14:textId="77777777" w:rsidR="00D94BEC" w:rsidRPr="00D94BEC" w:rsidRDefault="00D94BEC" w:rsidP="00D94BEC">
      <w:pPr>
        <w:shd w:val="clear" w:color="auto" w:fill="FFFFFF"/>
        <w:spacing w:after="0" w:line="240" w:lineRule="auto"/>
        <w:textAlignment w:val="baseline"/>
        <w:outlineLvl w:val="4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hyperlink r:id="rId6" w:tooltip="Ver perfil de usuario." w:history="1">
        <w:r w:rsidRPr="00D94BEC">
          <w:rPr>
            <w:rFonts w:ascii="inherit" w:eastAsia="Times New Roman" w:hAnsi="inherit" w:cs="Times New Roman"/>
            <w:color w:val="235991"/>
            <w:kern w:val="0"/>
            <w:sz w:val="21"/>
            <w:szCs w:val="21"/>
            <w:u w:val="single"/>
            <w:bdr w:val="none" w:sz="0" w:space="0" w:color="auto" w:frame="1"/>
            <w:lang w:eastAsia="es-CL"/>
            <w14:ligatures w14:val="none"/>
          </w:rPr>
          <w:t>Corresponsal El...</w:t>
        </w:r>
      </w:hyperlink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 &gt;</w:t>
      </w:r>
    </w:p>
    <w:p w14:paraId="0496B660" w14:textId="77777777" w:rsidR="00D94BEC" w:rsidRPr="00D94BEC" w:rsidRDefault="00D94BEC" w:rsidP="00D94BE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bdr w:val="none" w:sz="0" w:space="0" w:color="auto" w:frame="1"/>
          <w:lang w:eastAsia="es-CL"/>
          <w14:ligatures w14:val="none"/>
        </w:rPr>
        <w:t>Comparte:</w:t>
      </w:r>
    </w:p>
    <w:p w14:paraId="24DF38A0" w14:textId="77777777" w:rsidR="00D94BEC" w:rsidRPr="00D94BEC" w:rsidRDefault="00D94BEC" w:rsidP="00D94BEC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hyperlink r:id="rId7" w:anchor="whatsapp" w:tgtFrame="_blank" w:history="1">
        <w:proofErr w:type="spellStart"/>
        <w:r w:rsidRPr="00D94BEC">
          <w:rPr>
            <w:rFonts w:ascii="inherit" w:eastAsia="Times New Roman" w:hAnsi="inherit" w:cs="Times New Roman"/>
            <w:color w:val="235991"/>
            <w:kern w:val="0"/>
            <w:sz w:val="21"/>
            <w:szCs w:val="21"/>
            <w:bdr w:val="none" w:sz="0" w:space="0" w:color="auto" w:frame="1"/>
            <w:lang w:eastAsia="es-CL"/>
            <w14:ligatures w14:val="none"/>
          </w:rPr>
          <w:t>WhatsApp</w:t>
        </w:r>
      </w:hyperlink>
      <w:hyperlink r:id="rId8" w:anchor="facebook" w:tgtFrame="_blank" w:history="1">
        <w:r w:rsidRPr="00D94BEC">
          <w:rPr>
            <w:rFonts w:ascii="inherit" w:eastAsia="Times New Roman" w:hAnsi="inherit" w:cs="Times New Roman"/>
            <w:color w:val="235991"/>
            <w:kern w:val="0"/>
            <w:sz w:val="21"/>
            <w:szCs w:val="21"/>
            <w:bdr w:val="none" w:sz="0" w:space="0" w:color="auto" w:frame="1"/>
            <w:lang w:eastAsia="es-CL"/>
            <w14:ligatures w14:val="none"/>
          </w:rPr>
          <w:t>Facebook</w:t>
        </w:r>
      </w:hyperlink>
      <w:hyperlink r:id="rId9" w:anchor="twitter" w:tgtFrame="_blank" w:history="1">
        <w:r w:rsidRPr="00D94BEC">
          <w:rPr>
            <w:rFonts w:ascii="inherit" w:eastAsia="Times New Roman" w:hAnsi="inherit" w:cs="Times New Roman"/>
            <w:color w:val="235991"/>
            <w:kern w:val="0"/>
            <w:sz w:val="21"/>
            <w:szCs w:val="21"/>
            <w:bdr w:val="none" w:sz="0" w:space="0" w:color="auto" w:frame="1"/>
            <w:lang w:eastAsia="es-CL"/>
            <w14:ligatures w14:val="none"/>
          </w:rPr>
          <w:t>Twitter</w:t>
        </w:r>
        <w:proofErr w:type="spellEnd"/>
      </w:hyperlink>
    </w:p>
    <w:p w14:paraId="228C0AFF" w14:textId="77777777" w:rsidR="00D94BEC" w:rsidRPr="00D94BEC" w:rsidRDefault="00D94BEC" w:rsidP="00D94BEC">
      <w:pPr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</w:p>
    <w:p w14:paraId="718EAD4E" w14:textId="041ED74D" w:rsidR="00D94BEC" w:rsidRPr="00D94BEC" w:rsidRDefault="00D94BEC" w:rsidP="00D94BEC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noProof/>
          <w:color w:val="4D4D4D"/>
          <w:kern w:val="0"/>
          <w:sz w:val="21"/>
          <w:szCs w:val="21"/>
          <w:lang w:eastAsia="es-CL"/>
          <w14:ligatures w14:val="none"/>
        </w:rPr>
        <w:drawing>
          <wp:inline distT="0" distB="0" distL="0" distR="0" wp14:anchorId="73BF953A" wp14:editId="3212539F">
            <wp:extent cx="3810000" cy="2712720"/>
            <wp:effectExtent l="0" t="0" r="0" b="0"/>
            <wp:docPr id="352837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6CEB" w14:textId="77777777" w:rsidR="00D94BEC" w:rsidRPr="00D94BEC" w:rsidRDefault="00D94BEC" w:rsidP="00D94BE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bdr w:val="none" w:sz="0" w:space="0" w:color="auto" w:frame="1"/>
          <w:lang w:eastAsia="es-CL"/>
          <w14:ligatures w14:val="none"/>
        </w:rPr>
        <w:t>El alcalde de Rancagua, Eduardo Soto, en su calidad de presidente de la Corporación Municipal de Rancagua (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bdr w:val="none" w:sz="0" w:space="0" w:color="auto" w:frame="1"/>
          <w:lang w:eastAsia="es-CL"/>
          <w14:ligatures w14:val="none"/>
        </w:rPr>
        <w:t>Cormun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bdr w:val="none" w:sz="0" w:space="0" w:color="auto" w:frame="1"/>
          <w:lang w:eastAsia="es-CL"/>
          <w14:ligatures w14:val="none"/>
        </w:rPr>
        <w:t>), presentó este lunes una denuncia ante el Ministerio Público, para solicitar se investigue y determine posibles delitos y responsables en la supuesta presentación de documentación falsa por parte de un organismo de capacitación, que realizó cursos en el área educación a docentes de establecimientos municipales durante el año 2011.</w:t>
      </w:r>
    </w:p>
    <w:p w14:paraId="2AAE3649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br/>
        <w:t xml:space="preserve">El año pasado, entre el 3 de enero y 29 de junio, la Corporación Municipal realizó cursos de capacitación, acogiéndose a lo establecido en el artículo 36 de la Ley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Nº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19.518 sobre Estatuto de Capacitación y Empleo que entrega el Servicio de Capacitación y Empleo (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Sence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), respecto de cursos dirigidos a docentes del sistema municipal.</w:t>
      </w:r>
    </w:p>
    <w:p w14:paraId="786549DC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br/>
        <w:t>Entre otros, las capacitaciones realizadas fueron sobre: Estandarización Red de Lenguaje curso 1 y 2, Estandarización Red de Matemática curso 1 y 2, Estandarización Red de Historia, Estandarización Red Técnico Profesional, Estandarización Técnico Profesional en Administración, Planificación y Evaluación para Técnico Profesional y Cobertura Curricular Lenguaje.</w:t>
      </w:r>
    </w:p>
    <w:p w14:paraId="60CF77BA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lastRenderedPageBreak/>
        <w:br/>
        <w:t xml:space="preserve">La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Cormun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contrató los cursos señalados a la OTEC, sin embargo, con posterioridad a su realización, el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Sence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hizo observaciones a este proceso, que dicen relación específicamente con que se habría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preliquidado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por la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Cormun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un mayor número de participantes al que efectivamente concurrió a cada uno de los cursos, según sostiene el documento presentado en Fiscalía. Vale decir, el organismo capacitador habría faltado a la verdad al certificar la presencia de personas que no asistieron a las clases.</w:t>
      </w:r>
    </w:p>
    <w:p w14:paraId="12310FB0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br/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Cormun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actuó de buena fe, sobre la base de las facturas y certificados de asistencia presentados por la OTEC. Además, la Corporación no tiene la obligación legal de estar presente en cada uno de los cursos verificando asistencia, ésta es informada y certificada por la empresa que capacita.</w:t>
      </w:r>
    </w:p>
    <w:p w14:paraId="7F3382BD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br/>
        <w:t xml:space="preserve">El alcalde Eduardo Soto, en su presentación ante el Ministerio Público, fue enfático en señalar que "esta Corporación Municipal que presido no actúa al margen de la ley y para poder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preliquidar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ante el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Sence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los valores de la capacitación, era previo que la OTEC en cuestión nos entregara la variada documentación que acompañamos a esta denuncia, entre las cuales se encuentran las facturas y el certificado de asistencia para cada uno de los cursos".</w:t>
      </w:r>
    </w:p>
    <w:p w14:paraId="762B8883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br/>
        <w:t xml:space="preserve">A su vez, la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Cormun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hizo entrega de documentación con los descargos que se realizaron al </w:t>
      </w:r>
      <w:proofErr w:type="spell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Sence</w:t>
      </w:r>
      <w:proofErr w:type="spell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con fecha 26 de septiembre de 2011, "de forma tal que para esta entidad no existe otra posibilidad de hacer fe que la certificación entregada por la OTEC ya individualizada".</w:t>
      </w:r>
    </w:p>
    <w:p w14:paraId="7F211388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br/>
        <w:t xml:space="preserve">El escrito agrega que en este caso no ha existido perjuicio fiscal ya que </w:t>
      </w:r>
      <w:proofErr w:type="gram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las acciones de capacitación desarrolladas durante el año 2011 corresponde</w:t>
      </w:r>
      <w:proofErr w:type="gram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al uso de la franquicia en abril de 2012 y las preliquidaciones que adolecían de errores ya fueron corregidas por esta Corporación.</w:t>
      </w:r>
    </w:p>
    <w:p w14:paraId="32F731AE" w14:textId="77777777" w:rsidR="00D94BEC" w:rsidRPr="00D94BEC" w:rsidRDefault="00D94BEC" w:rsidP="00D94BEC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</w:pPr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br/>
        <w:t xml:space="preserve">En virtud de los hechos narrados, el alcalde solicitó al </w:t>
      </w:r>
      <w:proofErr w:type="gramStart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>Fiscal Regional</w:t>
      </w:r>
      <w:proofErr w:type="gramEnd"/>
      <w:r w:rsidRPr="00D94BEC">
        <w:rPr>
          <w:rFonts w:ascii="inherit" w:eastAsia="Times New Roman" w:hAnsi="inherit" w:cs="Times New Roman"/>
          <w:color w:val="4D4D4D"/>
          <w:kern w:val="0"/>
          <w:sz w:val="21"/>
          <w:szCs w:val="21"/>
          <w:lang w:eastAsia="es-CL"/>
          <w14:ligatures w14:val="none"/>
        </w:rPr>
        <w:t xml:space="preserve"> que inicie una investigación, "con el objeto de determinar los posibles delitos y sus responsables, que pudieren emanar de la entrega por parte del Organismo Capacitador de certificaciones de asistencia que no se ajustan a la realidad y que hacen fe de la asistencia de los participantes a los cursos de capacitación".</w:t>
      </w:r>
    </w:p>
    <w:p w14:paraId="3E651A31" w14:textId="77777777" w:rsidR="00B1156D" w:rsidRDefault="00B1156D"/>
    <w:sectPr w:rsidR="00B11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1403"/>
    <w:multiLevelType w:val="multilevel"/>
    <w:tmpl w:val="E03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69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EC"/>
    <w:rsid w:val="00B1156D"/>
    <w:rsid w:val="00D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0437"/>
  <w15:chartTrackingRefBased/>
  <w15:docId w15:val="{53BCF97B-FA90-44CC-AF2A-FB793695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94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  <w14:ligatures w14:val="none"/>
    </w:rPr>
  </w:style>
  <w:style w:type="paragraph" w:styleId="Ttulo5">
    <w:name w:val="heading 5"/>
    <w:basedOn w:val="Normal"/>
    <w:link w:val="Ttulo5Car"/>
    <w:uiPriority w:val="9"/>
    <w:qFormat/>
    <w:rsid w:val="00D94B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4BE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D94BEC"/>
    <w:rPr>
      <w:rFonts w:ascii="Times New Roman" w:eastAsia="Times New Roman" w:hAnsi="Times New Roman" w:cs="Times New Roman"/>
      <w:b/>
      <w:bCs/>
      <w:kern w:val="0"/>
      <w:sz w:val="20"/>
      <w:szCs w:val="20"/>
      <w:lang w:eastAsia="es-C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D94BEC"/>
    <w:rPr>
      <w:color w:val="0000FF"/>
      <w:u w:val="single"/>
    </w:rPr>
  </w:style>
  <w:style w:type="character" w:customStyle="1" w:styleId="text-share">
    <w:name w:val="text-share"/>
    <w:basedOn w:val="Fuentedeprrafopredeter"/>
    <w:rsid w:val="00D94BEC"/>
  </w:style>
  <w:style w:type="character" w:customStyle="1" w:styleId="a2alabel">
    <w:name w:val="a2a_label"/>
    <w:basedOn w:val="Fuentedeprrafopredeter"/>
    <w:rsid w:val="00D94BEC"/>
  </w:style>
  <w:style w:type="paragraph" w:customStyle="1" w:styleId="printhtml">
    <w:name w:val="print_html"/>
    <w:basedOn w:val="Normal"/>
    <w:rsid w:val="00D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0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54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8" w:space="15" w:color="B96631"/>
            <w:right w:val="none" w:sz="0" w:space="0" w:color="auto"/>
          </w:divBdr>
          <w:divsChild>
            <w:div w:id="8834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7167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031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rancahuaso.c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rancahuaso.c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rancahuaso.cl/users/corresponsal-el-rancahuas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elrancahuaso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3350</Characters>
  <Application>Microsoft Office Word</Application>
  <DocSecurity>0</DocSecurity>
  <Lines>27</Lines>
  <Paragraphs>7</Paragraphs>
  <ScaleCrop>false</ScaleCrop>
  <Company>HP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Fuentes R.</dc:creator>
  <cp:keywords/>
  <dc:description/>
  <cp:lastModifiedBy>Leonardo Fuentes R.</cp:lastModifiedBy>
  <cp:revision>1</cp:revision>
  <dcterms:created xsi:type="dcterms:W3CDTF">2024-01-19T01:51:00Z</dcterms:created>
  <dcterms:modified xsi:type="dcterms:W3CDTF">2024-01-19T01:52:00Z</dcterms:modified>
</cp:coreProperties>
</file>