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FD5" w:rsidRPr="005F2BD8" w:rsidRDefault="00215FD5"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sz w:val="24"/>
          <w:szCs w:val="24"/>
          <w:lang w:eastAsia="es-CL"/>
        </w:rPr>
      </w:pPr>
      <w:r w:rsidRPr="005F2BD8">
        <w:rPr>
          <w:rFonts w:ascii="Arial" w:eastAsia="Times New Roman" w:hAnsi="Arial" w:cs="Arial"/>
          <w:b/>
          <w:color w:val="000000"/>
          <w:sz w:val="24"/>
          <w:szCs w:val="24"/>
          <w:lang w:eastAsia="es-CL"/>
        </w:rPr>
        <w:t>Femicidios y Violencia Intrafamiliar contra la mujer</w:t>
      </w:r>
    </w:p>
    <w:p w:rsidR="008A5FE3" w:rsidRDefault="008A5FE3" w:rsidP="002F5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b/>
          <w:sz w:val="24"/>
          <w:szCs w:val="24"/>
          <w:lang w:eastAsia="es-CL"/>
        </w:rPr>
      </w:pPr>
      <w:r w:rsidRPr="002C30AD">
        <w:rPr>
          <w:rFonts w:ascii="Arial" w:eastAsia="Times New Roman" w:hAnsi="Arial" w:cs="Arial"/>
          <w:b/>
          <w:sz w:val="24"/>
          <w:szCs w:val="24"/>
          <w:lang w:eastAsia="es-CL"/>
        </w:rPr>
        <w:t>Para redes sociales y B</w:t>
      </w:r>
      <w:r w:rsidR="002C30AD" w:rsidRPr="002C30AD">
        <w:rPr>
          <w:rFonts w:ascii="Arial" w:eastAsia="Times New Roman" w:hAnsi="Arial" w:cs="Arial"/>
          <w:b/>
          <w:sz w:val="24"/>
          <w:szCs w:val="24"/>
          <w:lang w:eastAsia="es-CL"/>
        </w:rPr>
        <w:t>a</w:t>
      </w:r>
      <w:r w:rsidRPr="002C30AD">
        <w:rPr>
          <w:rFonts w:ascii="Arial" w:eastAsia="Times New Roman" w:hAnsi="Arial" w:cs="Arial"/>
          <w:b/>
          <w:sz w:val="24"/>
          <w:szCs w:val="24"/>
          <w:lang w:eastAsia="es-CL"/>
        </w:rPr>
        <w:t>jada:</w:t>
      </w:r>
    </w:p>
    <w:p w:rsidR="00EC2D96" w:rsidRPr="00EC2D96" w:rsidRDefault="00EC2D96" w:rsidP="002F5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b/>
          <w:sz w:val="24"/>
          <w:szCs w:val="24"/>
          <w:lang w:eastAsia="es-CL"/>
        </w:rPr>
      </w:pPr>
      <w:r w:rsidRPr="00EC2D96">
        <w:rPr>
          <w:rFonts w:ascii="Arial" w:hAnsi="Arial" w:cs="Arial"/>
          <w:color w:val="222222"/>
          <w:sz w:val="24"/>
          <w:szCs w:val="24"/>
          <w:shd w:val="clear" w:color="auto" w:fill="FFFFFF"/>
        </w:rPr>
        <w:t>Esta columna de opinión presenta evidencia que permite vincular causalme</w:t>
      </w:r>
      <w:r w:rsidR="00B557E0">
        <w:rPr>
          <w:rFonts w:ascii="Arial" w:hAnsi="Arial" w:cs="Arial"/>
          <w:color w:val="222222"/>
          <w:sz w:val="24"/>
          <w:szCs w:val="24"/>
          <w:shd w:val="clear" w:color="auto" w:fill="FFFFFF"/>
        </w:rPr>
        <w:t>nte Violencia Intrafamiliar (VIF) y  f</w:t>
      </w:r>
      <w:r w:rsidRPr="00EC2D96">
        <w:rPr>
          <w:rFonts w:ascii="Arial" w:hAnsi="Arial" w:cs="Arial"/>
          <w:color w:val="222222"/>
          <w:sz w:val="24"/>
          <w:szCs w:val="24"/>
          <w:shd w:val="clear" w:color="auto" w:fill="FFFFFF"/>
        </w:rPr>
        <w:t xml:space="preserve">emicidio. El autor sugiere que, al menos </w:t>
      </w:r>
      <w:r w:rsidR="00B557E0">
        <w:rPr>
          <w:rFonts w:ascii="Arial" w:hAnsi="Arial" w:cs="Arial"/>
          <w:color w:val="222222"/>
          <w:sz w:val="24"/>
          <w:szCs w:val="24"/>
          <w:shd w:val="clear" w:color="auto" w:fill="FFFFFF"/>
        </w:rPr>
        <w:t>en teoría, podría reducirse el f</w:t>
      </w:r>
      <w:r w:rsidRPr="00EC2D96">
        <w:rPr>
          <w:rFonts w:ascii="Arial" w:hAnsi="Arial" w:cs="Arial"/>
          <w:color w:val="222222"/>
          <w:sz w:val="24"/>
          <w:szCs w:val="24"/>
          <w:shd w:val="clear" w:color="auto" w:fill="FFFFFF"/>
        </w:rPr>
        <w:t>emicidio desplegando políticas públicas en zonas que registran altos niveles de V</w:t>
      </w:r>
      <w:r w:rsidR="00B557E0">
        <w:rPr>
          <w:rFonts w:ascii="Arial" w:hAnsi="Arial" w:cs="Arial"/>
          <w:color w:val="222222"/>
          <w:sz w:val="24"/>
          <w:szCs w:val="24"/>
          <w:shd w:val="clear" w:color="auto" w:fill="FFFFFF"/>
        </w:rPr>
        <w:t>IF</w:t>
      </w:r>
      <w:r w:rsidRPr="00EC2D96">
        <w:rPr>
          <w:rFonts w:ascii="Arial" w:hAnsi="Arial" w:cs="Arial"/>
          <w:color w:val="222222"/>
          <w:sz w:val="24"/>
          <w:szCs w:val="24"/>
          <w:shd w:val="clear" w:color="auto" w:fill="FFFFFF"/>
        </w:rPr>
        <w:t>. ¿Qué tipo de políticas serían útiles? El autor sostiene que, a</w:t>
      </w:r>
      <w:r w:rsidRPr="00EC2D96">
        <w:rPr>
          <w:rFonts w:ascii="Arial" w:hAnsi="Arial" w:cs="Arial"/>
          <w:color w:val="000000"/>
          <w:sz w:val="24"/>
          <w:szCs w:val="24"/>
          <w:shd w:val="clear" w:color="auto" w:fill="FFFFFF"/>
        </w:rPr>
        <w:t> medida que aumentan los años de escolaridad de hombres y mujeres, así como la empleabilidad de estas últimas, las tasas de V</w:t>
      </w:r>
      <w:r w:rsidR="00B557E0">
        <w:rPr>
          <w:rFonts w:ascii="Arial" w:hAnsi="Arial" w:cs="Arial"/>
          <w:color w:val="000000"/>
          <w:sz w:val="24"/>
          <w:szCs w:val="24"/>
          <w:shd w:val="clear" w:color="auto" w:fill="FFFFFF"/>
        </w:rPr>
        <w:t>IF</w:t>
      </w:r>
      <w:r w:rsidRPr="00EC2D96">
        <w:rPr>
          <w:rFonts w:ascii="Arial" w:hAnsi="Arial" w:cs="Arial"/>
          <w:color w:val="000000"/>
          <w:sz w:val="24"/>
          <w:szCs w:val="24"/>
          <w:shd w:val="clear" w:color="auto" w:fill="FFFFFF"/>
        </w:rPr>
        <w:t xml:space="preserve"> contra la mujer tenderían a disminuir.</w:t>
      </w:r>
    </w:p>
    <w:p w:rsidR="00EC2D96" w:rsidRDefault="00EC2D96"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sz w:val="24"/>
          <w:szCs w:val="24"/>
          <w:lang w:eastAsia="es-CL"/>
        </w:rPr>
      </w:pPr>
    </w:p>
    <w:p w:rsidR="00215FD5" w:rsidRDefault="005F2BD8"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Por </w:t>
      </w:r>
      <w:r w:rsidR="00215FD5" w:rsidRPr="005F2BD8">
        <w:rPr>
          <w:rFonts w:ascii="Arial" w:eastAsia="Times New Roman" w:hAnsi="Arial" w:cs="Arial"/>
          <w:color w:val="000000"/>
          <w:sz w:val="24"/>
          <w:szCs w:val="24"/>
          <w:lang w:eastAsia="es-CL"/>
        </w:rPr>
        <w:t xml:space="preserve">Hugo Contreras Gómez </w:t>
      </w:r>
    </w:p>
    <w:p w:rsidR="00215FD5" w:rsidRPr="005F2BD8" w:rsidRDefault="004A131E"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sz w:val="24"/>
          <w:szCs w:val="24"/>
          <w:lang w:eastAsia="es-CL"/>
        </w:rPr>
      </w:pPr>
      <w:r>
        <w:rPr>
          <w:rFonts w:ascii="Arial" w:eastAsia="Times New Roman" w:hAnsi="Arial" w:cs="Arial"/>
          <w:color w:val="000000"/>
          <w:sz w:val="24"/>
          <w:szCs w:val="24"/>
          <w:highlight w:val="yellow"/>
          <w:lang w:eastAsia="es-CL"/>
        </w:rPr>
        <w:t>((((</w:t>
      </w:r>
      <w:r w:rsidR="00D822A5" w:rsidRPr="003C41D6">
        <w:rPr>
          <w:rFonts w:ascii="Arial" w:eastAsia="Times New Roman" w:hAnsi="Arial" w:cs="Arial"/>
          <w:color w:val="000000"/>
          <w:sz w:val="24"/>
          <w:szCs w:val="24"/>
          <w:highlight w:val="yellow"/>
          <w:lang w:eastAsia="es-CL"/>
        </w:rPr>
        <w:t xml:space="preserve">Ingeniero Agrónomo </w:t>
      </w:r>
      <w:r w:rsidR="003C41D6">
        <w:rPr>
          <w:rFonts w:ascii="Arial" w:eastAsia="Times New Roman" w:hAnsi="Arial" w:cs="Arial"/>
          <w:color w:val="000000"/>
          <w:sz w:val="24"/>
          <w:szCs w:val="24"/>
          <w:highlight w:val="yellow"/>
          <w:lang w:eastAsia="es-CL"/>
        </w:rPr>
        <w:t xml:space="preserve">de la </w:t>
      </w:r>
      <w:r w:rsidR="00D822A5" w:rsidRPr="003C41D6">
        <w:rPr>
          <w:rFonts w:ascii="Arial" w:eastAsia="Times New Roman" w:hAnsi="Arial" w:cs="Arial"/>
          <w:color w:val="000000"/>
          <w:sz w:val="24"/>
          <w:szCs w:val="24"/>
          <w:highlight w:val="yellow"/>
          <w:lang w:eastAsia="es-CL"/>
        </w:rPr>
        <w:t>Universidad de Chile, Magister en Economía Pontificia Universidad Católica de Chile, Magister en Políticas Públi</w:t>
      </w:r>
      <w:r w:rsidR="003C41D6">
        <w:rPr>
          <w:rFonts w:ascii="Arial" w:eastAsia="Times New Roman" w:hAnsi="Arial" w:cs="Arial"/>
          <w:color w:val="000000"/>
          <w:sz w:val="24"/>
          <w:szCs w:val="24"/>
          <w:highlight w:val="yellow"/>
          <w:lang w:eastAsia="es-CL"/>
        </w:rPr>
        <w:t xml:space="preserve">cas Universidad del Desarrollo. </w:t>
      </w:r>
      <w:r w:rsidR="00D822A5" w:rsidRPr="003C41D6">
        <w:rPr>
          <w:rFonts w:ascii="Arial" w:eastAsia="Times New Roman" w:hAnsi="Arial" w:cs="Arial"/>
          <w:color w:val="000000"/>
          <w:sz w:val="24"/>
          <w:szCs w:val="24"/>
          <w:highlight w:val="yellow"/>
          <w:lang w:eastAsia="es-CL"/>
        </w:rPr>
        <w:t xml:space="preserve">Investigador del </w:t>
      </w:r>
      <w:r w:rsidR="00215FD5" w:rsidRPr="003C41D6">
        <w:rPr>
          <w:rFonts w:ascii="Arial" w:eastAsia="Times New Roman" w:hAnsi="Arial" w:cs="Arial"/>
          <w:color w:val="000000"/>
          <w:sz w:val="24"/>
          <w:szCs w:val="24"/>
          <w:highlight w:val="yellow"/>
          <w:lang w:eastAsia="es-CL"/>
        </w:rPr>
        <w:t>Cent</w:t>
      </w:r>
      <w:r w:rsidR="00D822A5" w:rsidRPr="003C41D6">
        <w:rPr>
          <w:rFonts w:ascii="Arial" w:eastAsia="Times New Roman" w:hAnsi="Arial" w:cs="Arial"/>
          <w:color w:val="000000"/>
          <w:sz w:val="24"/>
          <w:szCs w:val="24"/>
          <w:highlight w:val="yellow"/>
          <w:lang w:eastAsia="es-CL"/>
        </w:rPr>
        <w:t xml:space="preserve">ro de Políticas Públicas (CPP) y </w:t>
      </w:r>
      <w:r w:rsidR="00215FD5" w:rsidRPr="003C41D6">
        <w:rPr>
          <w:rFonts w:ascii="Arial" w:eastAsia="Times New Roman" w:hAnsi="Arial" w:cs="Arial"/>
          <w:color w:val="000000"/>
          <w:sz w:val="24"/>
          <w:szCs w:val="24"/>
          <w:highlight w:val="yellow"/>
          <w:lang w:eastAsia="es-CL"/>
        </w:rPr>
        <w:t>Centro de Investigación en Complejidad Social (CICS), Universidad del Desarrollo</w:t>
      </w:r>
      <w:r>
        <w:rPr>
          <w:rFonts w:ascii="Arial" w:eastAsia="Times New Roman" w:hAnsi="Arial" w:cs="Arial"/>
          <w:color w:val="000000"/>
          <w:sz w:val="24"/>
          <w:szCs w:val="24"/>
          <w:lang w:eastAsia="es-CL"/>
        </w:rPr>
        <w:t>)))</w:t>
      </w:r>
    </w:p>
    <w:p w:rsidR="002C30AD" w:rsidRDefault="002C30AD"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Texto:</w:t>
      </w:r>
    </w:p>
    <w:p w:rsidR="005F2BD8" w:rsidRDefault="00215FD5"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color w:val="000000"/>
          <w:sz w:val="24"/>
          <w:szCs w:val="24"/>
          <w:lang w:eastAsia="es-CL"/>
        </w:rPr>
      </w:pPr>
      <w:r w:rsidRPr="005F2BD8">
        <w:rPr>
          <w:rFonts w:ascii="Arial" w:eastAsia="Times New Roman" w:hAnsi="Arial" w:cs="Arial"/>
          <w:color w:val="000000"/>
          <w:sz w:val="24"/>
          <w:szCs w:val="24"/>
          <w:lang w:eastAsia="es-CL"/>
        </w:rPr>
        <w:t>La literatura</w:t>
      </w:r>
      <w:r w:rsidR="00C22D05">
        <w:rPr>
          <w:rFonts w:ascii="Arial" w:eastAsia="Times New Roman" w:hAnsi="Arial" w:cs="Arial"/>
          <w:color w:val="000000"/>
          <w:sz w:val="24"/>
          <w:szCs w:val="24"/>
          <w:lang w:eastAsia="es-CL"/>
        </w:rPr>
        <w:t xml:space="preserve"> académica</w:t>
      </w:r>
      <w:r w:rsidRPr="005F2BD8">
        <w:rPr>
          <w:rFonts w:ascii="Arial" w:eastAsia="Times New Roman" w:hAnsi="Arial" w:cs="Arial"/>
          <w:color w:val="000000"/>
          <w:sz w:val="24"/>
          <w:szCs w:val="24"/>
          <w:lang w:eastAsia="es-CL"/>
        </w:rPr>
        <w:t>, así como el conocimiento popu</w:t>
      </w:r>
      <w:r w:rsidR="005F2BD8">
        <w:rPr>
          <w:rFonts w:ascii="Arial" w:eastAsia="Times New Roman" w:hAnsi="Arial" w:cs="Arial"/>
          <w:color w:val="000000"/>
          <w:sz w:val="24"/>
          <w:szCs w:val="24"/>
          <w:lang w:eastAsia="es-CL"/>
        </w:rPr>
        <w:t>lar, relacionan los conceptos</w:t>
      </w:r>
      <w:r w:rsidRPr="005F2BD8">
        <w:rPr>
          <w:rFonts w:ascii="Arial" w:eastAsia="Times New Roman" w:hAnsi="Arial" w:cs="Arial"/>
          <w:color w:val="000000"/>
          <w:sz w:val="24"/>
          <w:szCs w:val="24"/>
          <w:lang w:eastAsia="es-CL"/>
        </w:rPr>
        <w:t xml:space="preserve"> </w:t>
      </w:r>
      <w:r w:rsidR="005F2BD8">
        <w:rPr>
          <w:rFonts w:ascii="Arial" w:eastAsia="Times New Roman" w:hAnsi="Arial" w:cs="Arial"/>
          <w:color w:val="000000"/>
          <w:sz w:val="24"/>
          <w:szCs w:val="24"/>
          <w:lang w:eastAsia="es-CL"/>
        </w:rPr>
        <w:t>“</w:t>
      </w:r>
      <w:r w:rsidRPr="005F2BD8">
        <w:rPr>
          <w:rFonts w:ascii="Arial" w:eastAsia="Times New Roman" w:hAnsi="Arial" w:cs="Arial"/>
          <w:color w:val="000000"/>
          <w:sz w:val="24"/>
          <w:szCs w:val="24"/>
          <w:lang w:eastAsia="es-CL"/>
        </w:rPr>
        <w:t>femicidio</w:t>
      </w:r>
      <w:r w:rsidR="005F2BD8">
        <w:rPr>
          <w:rFonts w:ascii="Arial" w:eastAsia="Times New Roman" w:hAnsi="Arial" w:cs="Arial"/>
          <w:color w:val="000000"/>
          <w:sz w:val="24"/>
          <w:szCs w:val="24"/>
          <w:lang w:eastAsia="es-CL"/>
        </w:rPr>
        <w:t>”</w:t>
      </w:r>
      <w:r w:rsidRPr="005F2BD8">
        <w:rPr>
          <w:rFonts w:ascii="Arial" w:eastAsia="Times New Roman" w:hAnsi="Arial" w:cs="Arial"/>
          <w:color w:val="000000"/>
          <w:sz w:val="24"/>
          <w:szCs w:val="24"/>
          <w:lang w:eastAsia="es-CL"/>
        </w:rPr>
        <w:t xml:space="preserve"> y </w:t>
      </w:r>
      <w:r w:rsidR="005F2BD8">
        <w:rPr>
          <w:rFonts w:ascii="Arial" w:eastAsia="Times New Roman" w:hAnsi="Arial" w:cs="Arial"/>
          <w:color w:val="000000"/>
          <w:sz w:val="24"/>
          <w:szCs w:val="24"/>
          <w:lang w:eastAsia="es-CL"/>
        </w:rPr>
        <w:t>“v</w:t>
      </w:r>
      <w:r w:rsidRPr="005F2BD8">
        <w:rPr>
          <w:rFonts w:ascii="Arial" w:eastAsia="Times New Roman" w:hAnsi="Arial" w:cs="Arial"/>
          <w:color w:val="000000"/>
          <w:sz w:val="24"/>
          <w:szCs w:val="24"/>
          <w:lang w:eastAsia="es-CL"/>
        </w:rPr>
        <w:t>iolencia contra la mujer</w:t>
      </w:r>
      <w:r w:rsidR="005F2BD8">
        <w:rPr>
          <w:rFonts w:ascii="Arial" w:eastAsia="Times New Roman" w:hAnsi="Arial" w:cs="Arial"/>
          <w:color w:val="000000"/>
          <w:sz w:val="24"/>
          <w:szCs w:val="24"/>
          <w:lang w:eastAsia="es-CL"/>
        </w:rPr>
        <w:t>”</w:t>
      </w:r>
      <w:r w:rsidRPr="005F2BD8">
        <w:rPr>
          <w:rFonts w:ascii="Arial" w:eastAsia="Times New Roman" w:hAnsi="Arial" w:cs="Arial"/>
          <w:color w:val="000000"/>
          <w:sz w:val="24"/>
          <w:szCs w:val="24"/>
          <w:lang w:eastAsia="es-CL"/>
        </w:rPr>
        <w:t>. Si bien el término femicidio es reconocido en muchos países como el asesinato de una mujer (sólo por el hecho de ser</w:t>
      </w:r>
      <w:r w:rsidR="00C83D9A">
        <w:rPr>
          <w:rFonts w:ascii="Arial" w:eastAsia="Times New Roman" w:hAnsi="Arial" w:cs="Arial"/>
          <w:color w:val="000000"/>
          <w:sz w:val="24"/>
          <w:szCs w:val="24"/>
          <w:lang w:eastAsia="es-CL"/>
        </w:rPr>
        <w:t>lo</w:t>
      </w:r>
      <w:r w:rsidRPr="005F2BD8">
        <w:rPr>
          <w:rFonts w:ascii="Arial" w:eastAsia="Times New Roman" w:hAnsi="Arial" w:cs="Arial"/>
          <w:color w:val="000000"/>
          <w:sz w:val="24"/>
          <w:szCs w:val="24"/>
          <w:lang w:eastAsia="es-CL"/>
        </w:rPr>
        <w:t xml:space="preserve">), sin que exista o sea necesario establecer una relación entre el </w:t>
      </w:r>
      <w:r w:rsidR="005F2BD8">
        <w:rPr>
          <w:rFonts w:ascii="Arial" w:eastAsia="Times New Roman" w:hAnsi="Arial" w:cs="Arial"/>
          <w:color w:val="000000"/>
          <w:sz w:val="24"/>
          <w:szCs w:val="24"/>
          <w:lang w:eastAsia="es-CL"/>
        </w:rPr>
        <w:t>homicida y la víctima</w:t>
      </w:r>
      <w:r w:rsidRPr="005F2BD8">
        <w:rPr>
          <w:rFonts w:ascii="Arial" w:eastAsia="Times New Roman" w:hAnsi="Arial" w:cs="Arial"/>
          <w:color w:val="000000"/>
          <w:sz w:val="24"/>
          <w:szCs w:val="24"/>
          <w:lang w:eastAsia="es-CL"/>
        </w:rPr>
        <w:t xml:space="preserve">, en Chile, la Ley 20.480 lo define como </w:t>
      </w:r>
      <w:r w:rsidR="00D822A5">
        <w:rPr>
          <w:rFonts w:ascii="Arial" w:eastAsia="Times New Roman" w:hAnsi="Arial" w:cs="Arial"/>
          <w:color w:val="000000"/>
          <w:sz w:val="24"/>
          <w:szCs w:val="24"/>
          <w:lang w:eastAsia="es-CL"/>
        </w:rPr>
        <w:t>“</w:t>
      </w:r>
      <w:r w:rsidRPr="005F2BD8">
        <w:rPr>
          <w:rFonts w:ascii="Arial" w:eastAsia="Times New Roman" w:hAnsi="Arial" w:cs="Arial"/>
          <w:i/>
          <w:color w:val="000000"/>
          <w:sz w:val="24"/>
          <w:szCs w:val="24"/>
          <w:lang w:eastAsia="es-CL"/>
        </w:rPr>
        <w:t>el asesinato de una mujer realizado por quien es o ha sido su esposo o conviviente</w:t>
      </w:r>
      <w:r w:rsidR="00D822A5">
        <w:rPr>
          <w:rFonts w:ascii="Arial" w:eastAsia="Times New Roman" w:hAnsi="Arial" w:cs="Arial"/>
          <w:i/>
          <w:color w:val="000000"/>
          <w:sz w:val="24"/>
          <w:szCs w:val="24"/>
          <w:lang w:eastAsia="es-CL"/>
        </w:rPr>
        <w:t>”</w:t>
      </w:r>
      <w:r w:rsidR="005F2BD8">
        <w:rPr>
          <w:rFonts w:ascii="Arial" w:eastAsia="Times New Roman" w:hAnsi="Arial" w:cs="Arial"/>
          <w:color w:val="000000"/>
          <w:sz w:val="24"/>
          <w:szCs w:val="24"/>
          <w:lang w:eastAsia="es-CL"/>
        </w:rPr>
        <w:t>.</w:t>
      </w:r>
    </w:p>
    <w:p w:rsidR="00215FD5" w:rsidRDefault="00215FD5"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i/>
          <w:color w:val="000000"/>
          <w:sz w:val="24"/>
          <w:szCs w:val="24"/>
          <w:lang w:eastAsia="es-CL"/>
        </w:rPr>
      </w:pPr>
      <w:r w:rsidRPr="005F2BD8">
        <w:rPr>
          <w:rFonts w:ascii="Arial" w:eastAsia="Times New Roman" w:hAnsi="Arial" w:cs="Arial"/>
          <w:color w:val="000000"/>
          <w:sz w:val="24"/>
          <w:szCs w:val="24"/>
          <w:lang w:eastAsia="es-CL"/>
        </w:rPr>
        <w:t xml:space="preserve">Por su parte, la Ley 20.066 define la Violencia Intrafamiliar </w:t>
      </w:r>
      <w:r w:rsidR="00AA2D48">
        <w:rPr>
          <w:rFonts w:ascii="Arial" w:eastAsia="Times New Roman" w:hAnsi="Arial" w:cs="Arial"/>
          <w:color w:val="000000"/>
          <w:sz w:val="24"/>
          <w:szCs w:val="24"/>
          <w:lang w:eastAsia="es-CL"/>
        </w:rPr>
        <w:t xml:space="preserve">(VIF) </w:t>
      </w:r>
      <w:r w:rsidRPr="005F2BD8">
        <w:rPr>
          <w:rFonts w:ascii="Arial" w:eastAsia="Times New Roman" w:hAnsi="Arial" w:cs="Arial"/>
          <w:color w:val="000000"/>
          <w:sz w:val="24"/>
          <w:szCs w:val="24"/>
          <w:lang w:eastAsia="es-CL"/>
        </w:rPr>
        <w:t xml:space="preserve">como </w:t>
      </w:r>
      <w:r w:rsidR="00D822A5" w:rsidRPr="00D822A5">
        <w:rPr>
          <w:rFonts w:ascii="Arial" w:eastAsia="Times New Roman" w:hAnsi="Arial" w:cs="Arial"/>
          <w:i/>
          <w:color w:val="000000"/>
          <w:sz w:val="24"/>
          <w:szCs w:val="24"/>
          <w:lang w:eastAsia="es-CL"/>
        </w:rPr>
        <w:t>“</w:t>
      </w:r>
      <w:r w:rsidRPr="00D822A5">
        <w:rPr>
          <w:rFonts w:ascii="Arial" w:eastAsia="Times New Roman" w:hAnsi="Arial" w:cs="Arial"/>
          <w:i/>
          <w:color w:val="000000"/>
          <w:sz w:val="24"/>
          <w:szCs w:val="24"/>
          <w:lang w:eastAsia="es-CL"/>
        </w:rPr>
        <w:t xml:space="preserve">todo maltrato que afecte la vida o la integridad física o psíquica de quien tenga o haya tenido la calidad de cónyuge del ofensor o una relación de convivencia con él. En </w:t>
      </w:r>
      <w:r w:rsidRPr="00D822A5">
        <w:rPr>
          <w:rFonts w:ascii="Arial" w:eastAsia="Times New Roman" w:hAnsi="Arial" w:cs="Arial"/>
          <w:i/>
          <w:color w:val="000000"/>
          <w:sz w:val="24"/>
          <w:szCs w:val="24"/>
          <w:lang w:eastAsia="es-CL"/>
        </w:rPr>
        <w:lastRenderedPageBreak/>
        <w:t>este último caso, la Violencia Intrafamiliar hacia la mujer implicaría todo maltrato, físico y/o psicológico, por parte de su cónyuge o conviviente</w:t>
      </w:r>
      <w:r w:rsidR="00D822A5" w:rsidRPr="00D822A5">
        <w:rPr>
          <w:rFonts w:ascii="Arial" w:eastAsia="Times New Roman" w:hAnsi="Arial" w:cs="Arial"/>
          <w:i/>
          <w:color w:val="000000"/>
          <w:sz w:val="24"/>
          <w:szCs w:val="24"/>
          <w:lang w:eastAsia="es-CL"/>
        </w:rPr>
        <w:t>”</w:t>
      </w:r>
      <w:r w:rsidR="00C83D9A">
        <w:rPr>
          <w:rFonts w:ascii="Arial" w:eastAsia="Times New Roman" w:hAnsi="Arial" w:cs="Arial"/>
          <w:i/>
          <w:color w:val="000000"/>
          <w:sz w:val="24"/>
          <w:szCs w:val="24"/>
          <w:lang w:eastAsia="es-CL"/>
        </w:rPr>
        <w:t>.</w:t>
      </w:r>
    </w:p>
    <w:p w:rsidR="00215FD5" w:rsidRDefault="00B7418B"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color w:val="000000"/>
          <w:sz w:val="24"/>
          <w:szCs w:val="24"/>
          <w:lang w:eastAsia="es-CL"/>
        </w:rPr>
      </w:pPr>
      <w:r w:rsidRPr="002F5A20">
        <w:rPr>
          <w:rFonts w:ascii="Arial" w:eastAsia="Times New Roman" w:hAnsi="Arial" w:cs="Arial"/>
          <w:color w:val="000000"/>
          <w:sz w:val="24"/>
          <w:szCs w:val="24"/>
          <w:lang w:eastAsia="es-CL"/>
        </w:rPr>
        <w:t>E</w:t>
      </w:r>
      <w:r w:rsidR="00BC28AC" w:rsidRPr="002F5A20">
        <w:rPr>
          <w:rFonts w:ascii="Arial" w:eastAsia="Times New Roman" w:hAnsi="Arial" w:cs="Arial"/>
          <w:color w:val="000000"/>
          <w:sz w:val="24"/>
          <w:szCs w:val="24"/>
          <w:lang w:eastAsia="es-CL"/>
        </w:rPr>
        <w:t xml:space="preserve">l aumento de </w:t>
      </w:r>
      <w:r w:rsidR="00215FD5" w:rsidRPr="002F5A20">
        <w:rPr>
          <w:rFonts w:ascii="Arial" w:eastAsia="Times New Roman" w:hAnsi="Arial" w:cs="Arial"/>
          <w:color w:val="000000"/>
          <w:sz w:val="24"/>
          <w:szCs w:val="24"/>
          <w:lang w:eastAsia="es-CL"/>
        </w:rPr>
        <w:t xml:space="preserve">la violencia hacia la mujer y </w:t>
      </w:r>
      <w:r w:rsidRPr="002F5A20">
        <w:rPr>
          <w:rFonts w:ascii="Arial" w:eastAsia="Times New Roman" w:hAnsi="Arial" w:cs="Arial"/>
          <w:color w:val="000000"/>
          <w:sz w:val="24"/>
          <w:szCs w:val="24"/>
          <w:lang w:eastAsia="es-CL"/>
        </w:rPr>
        <w:t>los casos de femicidio</w:t>
      </w:r>
      <w:r w:rsidR="00215FD5" w:rsidRPr="002F5A20">
        <w:rPr>
          <w:rFonts w:ascii="Arial" w:eastAsia="Times New Roman" w:hAnsi="Arial" w:cs="Arial"/>
          <w:color w:val="000000"/>
          <w:sz w:val="24"/>
          <w:szCs w:val="24"/>
          <w:lang w:eastAsia="es-CL"/>
        </w:rPr>
        <w:t xml:space="preserve"> </w:t>
      </w:r>
      <w:r w:rsidRPr="002F5A20">
        <w:rPr>
          <w:rFonts w:ascii="Arial" w:eastAsia="Times New Roman" w:hAnsi="Arial" w:cs="Arial"/>
          <w:color w:val="000000"/>
          <w:sz w:val="24"/>
          <w:szCs w:val="24"/>
          <w:lang w:eastAsia="es-CL"/>
        </w:rPr>
        <w:t xml:space="preserve">son </w:t>
      </w:r>
      <w:r w:rsidR="00215FD5" w:rsidRPr="002F5A20">
        <w:rPr>
          <w:rFonts w:ascii="Arial" w:eastAsia="Times New Roman" w:hAnsi="Arial" w:cs="Arial"/>
          <w:color w:val="000000"/>
          <w:sz w:val="24"/>
          <w:szCs w:val="24"/>
          <w:lang w:eastAsia="es-CL"/>
        </w:rPr>
        <w:t>una tendencia que no sólo de observa en Chile, sino en todo el mundo</w:t>
      </w:r>
      <w:r w:rsidRPr="002F5A20">
        <w:rPr>
          <w:rFonts w:ascii="Arial" w:eastAsia="Times New Roman" w:hAnsi="Arial" w:cs="Arial"/>
          <w:color w:val="000000"/>
          <w:sz w:val="24"/>
          <w:szCs w:val="24"/>
          <w:lang w:eastAsia="es-CL"/>
        </w:rPr>
        <w:t>. E</w:t>
      </w:r>
      <w:r w:rsidR="00BC28AC" w:rsidRPr="002F5A20">
        <w:rPr>
          <w:rFonts w:ascii="Arial" w:eastAsia="Times New Roman" w:hAnsi="Arial" w:cs="Arial"/>
          <w:color w:val="000000"/>
          <w:sz w:val="24"/>
          <w:szCs w:val="24"/>
          <w:lang w:eastAsia="es-CL"/>
        </w:rPr>
        <w:t>sta columna plantea la hipótesis de que los casos de Violencia Intrafamiliar</w:t>
      </w:r>
      <w:r w:rsidR="000B339D" w:rsidRPr="002F5A20">
        <w:rPr>
          <w:rFonts w:ascii="Arial" w:eastAsia="Times New Roman" w:hAnsi="Arial" w:cs="Arial"/>
          <w:color w:val="000000"/>
          <w:sz w:val="24"/>
          <w:szCs w:val="24"/>
          <w:lang w:eastAsia="es-CL"/>
        </w:rPr>
        <w:t xml:space="preserve"> contra la mujer</w:t>
      </w:r>
      <w:r w:rsidR="00BC28AC" w:rsidRPr="002F5A20">
        <w:rPr>
          <w:rFonts w:ascii="Arial" w:eastAsia="Times New Roman" w:hAnsi="Arial" w:cs="Arial"/>
          <w:color w:val="000000"/>
          <w:sz w:val="24"/>
          <w:szCs w:val="24"/>
          <w:lang w:eastAsia="es-CL"/>
        </w:rPr>
        <w:t xml:space="preserve"> y los femicidios están causalmente vinculados. Para ello se examinan los datos públicos del Servicio Nacional de la Mujer y Equidad de Género (</w:t>
      </w:r>
      <w:hyperlink r:id="rId7" w:history="1">
        <w:r w:rsidR="002C30AD" w:rsidRPr="00E8107E">
          <w:rPr>
            <w:rStyle w:val="Hipervnculo"/>
            <w:rFonts w:ascii="Arial" w:eastAsia="Times New Roman" w:hAnsi="Arial" w:cs="Arial"/>
            <w:sz w:val="24"/>
            <w:szCs w:val="24"/>
            <w:lang w:eastAsia="es-CL"/>
          </w:rPr>
          <w:t>SernamEG</w:t>
        </w:r>
      </w:hyperlink>
      <w:r w:rsidR="00BC28AC" w:rsidRPr="002F5A20">
        <w:rPr>
          <w:rFonts w:ascii="Arial" w:eastAsia="Times New Roman" w:hAnsi="Arial" w:cs="Arial"/>
          <w:color w:val="000000"/>
          <w:sz w:val="24"/>
          <w:szCs w:val="24"/>
          <w:lang w:eastAsia="es-CL"/>
        </w:rPr>
        <w:t>) y los casos policiales de la Subsecretaria de Prevención del Delito. Por otro lado, también se busca explicar las causas de la Violencia Intrafamiliar contra las mujeres</w:t>
      </w:r>
      <w:r w:rsidR="002F5A20">
        <w:rPr>
          <w:rFonts w:ascii="Arial" w:eastAsia="Times New Roman" w:hAnsi="Arial" w:cs="Arial"/>
          <w:color w:val="000000"/>
          <w:sz w:val="24"/>
          <w:szCs w:val="24"/>
          <w:lang w:eastAsia="es-CL"/>
        </w:rPr>
        <w:t>.</w:t>
      </w:r>
    </w:p>
    <w:p w:rsidR="00E8107E" w:rsidRDefault="00215FD5" w:rsidP="005F2BD8">
      <w:pPr>
        <w:spacing w:before="100" w:beforeAutospacing="1" w:after="100" w:afterAutospacing="1" w:line="360" w:lineRule="auto"/>
        <w:jc w:val="both"/>
        <w:rPr>
          <w:rFonts w:ascii="Arial" w:eastAsia="Times New Roman" w:hAnsi="Arial" w:cs="Arial"/>
          <w:color w:val="000000"/>
          <w:sz w:val="24"/>
          <w:szCs w:val="24"/>
          <w:lang w:eastAsia="es-CL"/>
        </w:rPr>
      </w:pPr>
      <w:r w:rsidRPr="005F2BD8">
        <w:rPr>
          <w:rFonts w:ascii="Arial" w:eastAsia="Times New Roman" w:hAnsi="Arial" w:cs="Arial"/>
          <w:color w:val="000000"/>
          <w:sz w:val="24"/>
          <w:szCs w:val="24"/>
          <w:lang w:eastAsia="es-CL"/>
        </w:rPr>
        <w:t xml:space="preserve">En </w:t>
      </w:r>
      <w:r w:rsidRPr="00D822A5">
        <w:rPr>
          <w:rFonts w:ascii="Arial" w:eastAsia="Times New Roman" w:hAnsi="Arial" w:cs="Arial"/>
          <w:color w:val="000000"/>
          <w:sz w:val="24"/>
          <w:szCs w:val="24"/>
          <w:lang w:eastAsia="es-CL"/>
        </w:rPr>
        <w:t xml:space="preserve">la </w:t>
      </w:r>
      <w:r w:rsidRPr="00D822A5">
        <w:rPr>
          <w:rFonts w:ascii="Arial" w:eastAsia="Times New Roman" w:hAnsi="Arial" w:cs="Arial"/>
          <w:b/>
          <w:color w:val="000000"/>
          <w:sz w:val="24"/>
          <w:szCs w:val="24"/>
          <w:lang w:eastAsia="es-CL"/>
        </w:rPr>
        <w:t>Tabla 1</w:t>
      </w:r>
      <w:r w:rsidRPr="00D822A5">
        <w:rPr>
          <w:rFonts w:ascii="Arial" w:eastAsia="Times New Roman" w:hAnsi="Arial" w:cs="Arial"/>
          <w:color w:val="000000"/>
          <w:sz w:val="24"/>
          <w:szCs w:val="24"/>
          <w:lang w:eastAsia="es-CL"/>
        </w:rPr>
        <w:t xml:space="preserve"> se presenta</w:t>
      </w:r>
      <w:r w:rsidRPr="005F2BD8">
        <w:rPr>
          <w:rFonts w:ascii="Arial" w:eastAsia="Times New Roman" w:hAnsi="Arial" w:cs="Arial"/>
          <w:color w:val="000000"/>
          <w:sz w:val="24"/>
          <w:szCs w:val="24"/>
          <w:lang w:eastAsia="es-CL"/>
        </w:rPr>
        <w:t xml:space="preserve"> el número de femicidios consumados</w:t>
      </w:r>
      <w:r w:rsidR="008A1CB6">
        <w:rPr>
          <w:rFonts w:ascii="Arial" w:eastAsia="Times New Roman" w:hAnsi="Arial" w:cs="Arial"/>
          <w:color w:val="000000"/>
          <w:sz w:val="24"/>
          <w:szCs w:val="24"/>
          <w:lang w:eastAsia="es-CL"/>
        </w:rPr>
        <w:t>,</w:t>
      </w:r>
      <w:r w:rsidRPr="005F2BD8">
        <w:rPr>
          <w:rFonts w:ascii="Arial" w:eastAsia="Times New Roman" w:hAnsi="Arial" w:cs="Arial"/>
          <w:color w:val="000000"/>
          <w:sz w:val="24"/>
          <w:szCs w:val="24"/>
          <w:lang w:eastAsia="es-CL"/>
        </w:rPr>
        <w:t xml:space="preserve"> ocurridos entre 2013 y 2019 en Chile. </w:t>
      </w:r>
      <w:r w:rsidR="008A1CB6">
        <w:rPr>
          <w:rFonts w:ascii="Arial" w:eastAsia="Times New Roman" w:hAnsi="Arial" w:cs="Arial"/>
          <w:color w:val="000000"/>
          <w:sz w:val="24"/>
          <w:szCs w:val="24"/>
          <w:lang w:eastAsia="es-CL"/>
        </w:rPr>
        <w:t>S</w:t>
      </w:r>
      <w:r w:rsidRPr="005F2BD8">
        <w:rPr>
          <w:rFonts w:ascii="Arial" w:eastAsia="Times New Roman" w:hAnsi="Arial" w:cs="Arial"/>
          <w:color w:val="000000"/>
          <w:sz w:val="24"/>
          <w:szCs w:val="24"/>
          <w:lang w:eastAsia="es-CL"/>
        </w:rPr>
        <w:t xml:space="preserve">i bien se observa una reducción de un 24,4% en el año 2016 respecto del 2015 (de 45 a 34 </w:t>
      </w:r>
      <w:r w:rsidR="008A1CB6">
        <w:rPr>
          <w:rFonts w:ascii="Arial" w:eastAsia="Times New Roman" w:hAnsi="Arial" w:cs="Arial"/>
          <w:color w:val="000000"/>
          <w:sz w:val="24"/>
          <w:szCs w:val="24"/>
          <w:lang w:eastAsia="es-CL"/>
        </w:rPr>
        <w:t>casos</w:t>
      </w:r>
      <w:r w:rsidRPr="005F2BD8">
        <w:rPr>
          <w:rFonts w:ascii="Arial" w:eastAsia="Times New Roman" w:hAnsi="Arial" w:cs="Arial"/>
          <w:color w:val="000000"/>
          <w:sz w:val="24"/>
          <w:szCs w:val="24"/>
          <w:lang w:eastAsia="es-CL"/>
        </w:rPr>
        <w:t xml:space="preserve">), </w:t>
      </w:r>
      <w:r w:rsidR="008A1CB6">
        <w:rPr>
          <w:rFonts w:ascii="Arial" w:eastAsia="Times New Roman" w:hAnsi="Arial" w:cs="Arial"/>
          <w:color w:val="000000"/>
          <w:sz w:val="24"/>
          <w:szCs w:val="24"/>
          <w:lang w:eastAsia="es-CL"/>
        </w:rPr>
        <w:t>es</w:t>
      </w:r>
      <w:r w:rsidRPr="005F2BD8">
        <w:rPr>
          <w:rFonts w:ascii="Arial" w:eastAsia="Times New Roman" w:hAnsi="Arial" w:cs="Arial"/>
          <w:color w:val="000000"/>
          <w:sz w:val="24"/>
          <w:szCs w:val="24"/>
          <w:lang w:eastAsia="es-CL"/>
        </w:rPr>
        <w:t xml:space="preserve">a tasa </w:t>
      </w:r>
      <w:r w:rsidR="008A1CB6">
        <w:rPr>
          <w:rFonts w:ascii="Arial" w:eastAsia="Times New Roman" w:hAnsi="Arial" w:cs="Arial"/>
          <w:color w:val="000000"/>
          <w:sz w:val="24"/>
          <w:szCs w:val="24"/>
          <w:lang w:eastAsia="es-CL"/>
        </w:rPr>
        <w:t>llega a</w:t>
      </w:r>
      <w:r w:rsidRPr="005F2BD8">
        <w:rPr>
          <w:rFonts w:ascii="Arial" w:eastAsia="Times New Roman" w:hAnsi="Arial" w:cs="Arial"/>
          <w:color w:val="000000"/>
          <w:sz w:val="24"/>
          <w:szCs w:val="24"/>
          <w:lang w:eastAsia="es-CL"/>
        </w:rPr>
        <w:t xml:space="preserve"> 29,4% </w:t>
      </w:r>
      <w:r w:rsidR="008A1CB6">
        <w:rPr>
          <w:rFonts w:ascii="Arial" w:eastAsia="Times New Roman" w:hAnsi="Arial" w:cs="Arial"/>
          <w:color w:val="000000"/>
          <w:sz w:val="24"/>
          <w:szCs w:val="24"/>
          <w:lang w:eastAsia="es-CL"/>
        </w:rPr>
        <w:t>en 2017 (</w:t>
      </w:r>
      <w:r w:rsidRPr="005F2BD8">
        <w:rPr>
          <w:rFonts w:ascii="Arial" w:eastAsia="Times New Roman" w:hAnsi="Arial" w:cs="Arial"/>
          <w:color w:val="000000"/>
          <w:sz w:val="24"/>
          <w:szCs w:val="24"/>
          <w:lang w:eastAsia="es-CL"/>
        </w:rPr>
        <w:t>44 muertes</w:t>
      </w:r>
      <w:r w:rsidR="008A1CB6">
        <w:rPr>
          <w:rFonts w:ascii="Arial" w:eastAsia="Times New Roman" w:hAnsi="Arial" w:cs="Arial"/>
          <w:color w:val="000000"/>
          <w:sz w:val="24"/>
          <w:szCs w:val="24"/>
          <w:lang w:eastAsia="es-CL"/>
        </w:rPr>
        <w:t>)</w:t>
      </w:r>
      <w:r w:rsidRPr="005F2BD8">
        <w:rPr>
          <w:rFonts w:ascii="Arial" w:eastAsia="Times New Roman" w:hAnsi="Arial" w:cs="Arial"/>
          <w:color w:val="000000"/>
          <w:sz w:val="24"/>
          <w:szCs w:val="24"/>
          <w:lang w:eastAsia="es-CL"/>
        </w:rPr>
        <w:t xml:space="preserve">. En el año 2018 se observan 42 femicidios </w:t>
      </w:r>
      <w:r w:rsidR="008A1CB6">
        <w:rPr>
          <w:rFonts w:ascii="Arial" w:eastAsia="Times New Roman" w:hAnsi="Arial" w:cs="Arial"/>
          <w:color w:val="000000"/>
          <w:sz w:val="24"/>
          <w:szCs w:val="24"/>
          <w:lang w:eastAsia="es-CL"/>
        </w:rPr>
        <w:t xml:space="preserve">y en </w:t>
      </w:r>
      <w:r w:rsidRPr="005F2BD8">
        <w:rPr>
          <w:rFonts w:ascii="Arial" w:eastAsia="Times New Roman" w:hAnsi="Arial" w:cs="Arial"/>
          <w:color w:val="000000"/>
          <w:sz w:val="24"/>
          <w:szCs w:val="24"/>
          <w:lang w:eastAsia="es-CL"/>
        </w:rPr>
        <w:t xml:space="preserve">2019 </w:t>
      </w:r>
      <w:r w:rsidR="008A1CB6">
        <w:rPr>
          <w:rFonts w:ascii="Arial" w:eastAsia="Times New Roman" w:hAnsi="Arial" w:cs="Arial"/>
          <w:color w:val="000000"/>
          <w:sz w:val="24"/>
          <w:szCs w:val="24"/>
          <w:lang w:eastAsia="es-CL"/>
        </w:rPr>
        <w:t xml:space="preserve">se registran </w:t>
      </w:r>
      <w:r w:rsidR="008A1CB6" w:rsidRPr="005F2BD8">
        <w:rPr>
          <w:rFonts w:ascii="Arial" w:eastAsia="Times New Roman" w:hAnsi="Arial" w:cs="Arial"/>
          <w:color w:val="000000"/>
          <w:sz w:val="24"/>
          <w:szCs w:val="24"/>
          <w:lang w:eastAsia="es-CL"/>
        </w:rPr>
        <w:t xml:space="preserve">46 </w:t>
      </w:r>
      <w:r w:rsidRPr="005F2BD8">
        <w:rPr>
          <w:rFonts w:ascii="Arial" w:eastAsia="Times New Roman" w:hAnsi="Arial" w:cs="Arial"/>
          <w:color w:val="000000"/>
          <w:sz w:val="24"/>
          <w:szCs w:val="24"/>
          <w:lang w:eastAsia="es-CL"/>
        </w:rPr>
        <w:t>(aumento de un 9,5%)</w:t>
      </w:r>
      <w:r w:rsidR="00C83D9A">
        <w:rPr>
          <w:rStyle w:val="Refdenotaalpie"/>
          <w:rFonts w:ascii="Arial" w:eastAsia="Times New Roman" w:hAnsi="Arial" w:cs="Arial"/>
          <w:color w:val="000000"/>
          <w:sz w:val="24"/>
          <w:szCs w:val="24"/>
          <w:lang w:eastAsia="es-CL"/>
        </w:rPr>
        <w:footnoteReference w:id="1"/>
      </w:r>
      <w:r w:rsidRPr="005F2BD8">
        <w:rPr>
          <w:rFonts w:ascii="Arial" w:eastAsia="Times New Roman" w:hAnsi="Arial" w:cs="Arial"/>
          <w:color w:val="000000"/>
          <w:sz w:val="24"/>
          <w:szCs w:val="24"/>
          <w:lang w:eastAsia="es-CL"/>
        </w:rPr>
        <w:t>.</w:t>
      </w:r>
      <w:r w:rsidR="00E8107E">
        <w:rPr>
          <w:rFonts w:ascii="Arial" w:eastAsia="Times New Roman" w:hAnsi="Arial" w:cs="Arial"/>
          <w:color w:val="000000"/>
          <w:sz w:val="24"/>
          <w:szCs w:val="24"/>
          <w:lang w:eastAsia="es-CL"/>
        </w:rPr>
        <w:t xml:space="preserve"> Se observa que la zona central (</w:t>
      </w:r>
      <w:r w:rsidR="000F4640" w:rsidRPr="005F2BD8">
        <w:rPr>
          <w:rFonts w:ascii="Arial" w:eastAsia="Times New Roman" w:hAnsi="Arial" w:cs="Arial"/>
          <w:color w:val="000000"/>
          <w:sz w:val="24"/>
          <w:szCs w:val="24"/>
          <w:lang w:eastAsia="es-CL"/>
        </w:rPr>
        <w:t>regiones de Va</w:t>
      </w:r>
      <w:r w:rsidR="00E8107E">
        <w:rPr>
          <w:rFonts w:ascii="Arial" w:eastAsia="Times New Roman" w:hAnsi="Arial" w:cs="Arial"/>
          <w:color w:val="000000"/>
          <w:sz w:val="24"/>
          <w:szCs w:val="24"/>
          <w:lang w:eastAsia="es-CL"/>
        </w:rPr>
        <w:t>lparaíso, Metropolitana y de O'Higgins)</w:t>
      </w:r>
      <w:r w:rsidR="000F4640" w:rsidRPr="005F2BD8">
        <w:rPr>
          <w:rFonts w:ascii="Arial" w:eastAsia="Times New Roman" w:hAnsi="Arial" w:cs="Arial"/>
          <w:color w:val="000000"/>
          <w:sz w:val="24"/>
          <w:szCs w:val="24"/>
          <w:lang w:eastAsia="es-CL"/>
        </w:rPr>
        <w:t xml:space="preserve"> concentra cerca del 50% de los casos a nivel nacional. </w:t>
      </w:r>
    </w:p>
    <w:p w:rsidR="00B21111" w:rsidRPr="00E8107E"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lang w:eastAsia="es-CL"/>
        </w:rPr>
      </w:pPr>
      <w:r w:rsidRPr="00E8107E">
        <w:rPr>
          <w:rFonts w:ascii="Arial" w:eastAsia="Times New Roman" w:hAnsi="Arial" w:cs="Arial"/>
          <w:b/>
          <w:color w:val="000000"/>
          <w:lang w:eastAsia="es-CL"/>
        </w:rPr>
        <w:t>Tabla 1. Número de femicidios consumados por región y año</w:t>
      </w:r>
    </w:p>
    <w:tbl>
      <w:tblPr>
        <w:tblW w:w="6223" w:type="dxa"/>
        <w:jc w:val="center"/>
        <w:tblCellMar>
          <w:left w:w="70" w:type="dxa"/>
          <w:right w:w="70" w:type="dxa"/>
        </w:tblCellMar>
        <w:tblLook w:val="04A0"/>
      </w:tblPr>
      <w:tblGrid>
        <w:gridCol w:w="1701"/>
        <w:gridCol w:w="646"/>
        <w:gridCol w:w="646"/>
        <w:gridCol w:w="646"/>
        <w:gridCol w:w="646"/>
        <w:gridCol w:w="646"/>
        <w:gridCol w:w="646"/>
        <w:gridCol w:w="646"/>
      </w:tblGrid>
      <w:tr w:rsidR="00B21111" w:rsidRPr="00E8107E" w:rsidTr="00B21111">
        <w:trPr>
          <w:trHeight w:val="300"/>
          <w:jc w:val="center"/>
        </w:trPr>
        <w:tc>
          <w:tcPr>
            <w:tcW w:w="1701"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Región</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2013</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2014</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2015</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2016</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2017</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2018</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2019</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Arica y Parinacota</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Tarapacá</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Antofagasta</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Atacama</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Coquimbo</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Valparaíso</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Metropolitana</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18</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19</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16</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16</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14</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O’Higgins</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Maule</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Ñuble</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Biobío</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Araucanía</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Los Ríos</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lastRenderedPageBreak/>
              <w:t>Los Lagos</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8</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Aysén</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r>
      <w:tr w:rsidR="00B21111" w:rsidRPr="00E8107E" w:rsidTr="00B21111">
        <w:trPr>
          <w:trHeight w:val="300"/>
          <w:jc w:val="center"/>
        </w:trPr>
        <w:tc>
          <w:tcPr>
            <w:tcW w:w="1701"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Magallanes</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r>
      <w:tr w:rsidR="00B21111" w:rsidRPr="00E8107E" w:rsidTr="00B21111">
        <w:trPr>
          <w:trHeight w:val="300"/>
          <w:jc w:val="center"/>
        </w:trPr>
        <w:tc>
          <w:tcPr>
            <w:tcW w:w="1701"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Total</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40</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40</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45</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34</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44</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42</w:t>
            </w:r>
          </w:p>
        </w:tc>
        <w:tc>
          <w:tcPr>
            <w:tcW w:w="64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46</w:t>
            </w:r>
          </w:p>
        </w:tc>
      </w:tr>
    </w:tbl>
    <w:p w:rsidR="00AB2C02" w:rsidRPr="00E8107E"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Fuente: Servicio Nacional de la Mujer y la Equidad de Género</w:t>
      </w:r>
    </w:p>
    <w:p w:rsidR="00215FD5" w:rsidRPr="005F2BD8" w:rsidRDefault="00215FD5" w:rsidP="005F2BD8">
      <w:pPr>
        <w:spacing w:before="100" w:beforeAutospacing="1" w:after="100" w:afterAutospacing="1" w:line="360" w:lineRule="auto"/>
        <w:jc w:val="both"/>
        <w:rPr>
          <w:rFonts w:ascii="Arial" w:eastAsia="Times New Roman" w:hAnsi="Arial" w:cs="Arial"/>
          <w:color w:val="000000"/>
          <w:sz w:val="24"/>
          <w:szCs w:val="24"/>
          <w:lang w:eastAsia="es-CL"/>
        </w:rPr>
      </w:pPr>
    </w:p>
    <w:p w:rsidR="00215FD5" w:rsidRPr="005F2BD8" w:rsidRDefault="00532E37" w:rsidP="005F2BD8">
      <w:pPr>
        <w:spacing w:before="100" w:beforeAutospacing="1" w:after="100" w:afterAutospacing="1" w:line="360" w:lineRule="auto"/>
        <w:jc w:val="center"/>
        <w:rPr>
          <w:rFonts w:ascii="Arial" w:hAnsi="Arial" w:cs="Arial"/>
          <w:sz w:val="24"/>
          <w:szCs w:val="24"/>
        </w:rPr>
      </w:pPr>
      <w:r w:rsidRPr="005F2BD8">
        <w:rPr>
          <w:rFonts w:ascii="Arial" w:hAnsi="Arial" w:cs="Arial"/>
          <w:noProof/>
          <w:sz w:val="24"/>
          <w:szCs w:val="24"/>
          <w:lang w:val="en-GB" w:eastAsia="en-GB"/>
        </w:rPr>
        <w:drawing>
          <wp:inline distT="0" distB="0" distL="0" distR="0">
            <wp:extent cx="3425186" cy="3240000"/>
            <wp:effectExtent l="0" t="0" r="4445" b="0"/>
            <wp:docPr id="1" name="Imagen 1" descr="C:\Users\Alumno02\Desktop\Proyectos\Proyecto VIF\Femicidios\fem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mno02\Desktop\Proyectos\Proyecto VIF\Femicidios\fem_2019.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44058" cy="3257852"/>
                    </a:xfrm>
                    <a:prstGeom prst="rect">
                      <a:avLst/>
                    </a:prstGeom>
                    <a:noFill/>
                    <a:ln>
                      <a:noFill/>
                    </a:ln>
                  </pic:spPr>
                </pic:pic>
              </a:graphicData>
            </a:graphic>
          </wp:inline>
        </w:drawing>
      </w:r>
    </w:p>
    <w:p w:rsidR="00B21111" w:rsidRPr="00E8107E"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lang w:eastAsia="es-CL"/>
        </w:rPr>
      </w:pPr>
      <w:r w:rsidRPr="00E8107E">
        <w:rPr>
          <w:rFonts w:ascii="Arial" w:eastAsia="Times New Roman" w:hAnsi="Arial" w:cs="Arial"/>
          <w:b/>
          <w:color w:val="000000"/>
          <w:lang w:eastAsia="es-CL"/>
        </w:rPr>
        <w:t>Figura 1. Distribución regional de femicidios, año 2019</w:t>
      </w:r>
    </w:p>
    <w:p w:rsidR="00AB2C02" w:rsidRPr="005F2BD8" w:rsidRDefault="00AB2C02" w:rsidP="002C3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rFonts w:ascii="Arial" w:eastAsia="Times New Roman" w:hAnsi="Arial" w:cs="Arial"/>
          <w:color w:val="000000"/>
          <w:sz w:val="24"/>
          <w:szCs w:val="24"/>
          <w:lang w:eastAsia="es-CL"/>
        </w:rPr>
      </w:pPr>
    </w:p>
    <w:p w:rsidR="00215FD5" w:rsidRPr="00E8107E" w:rsidRDefault="00E8107E" w:rsidP="005F2BD8">
      <w:pPr>
        <w:spacing w:before="100" w:beforeAutospacing="1" w:after="100" w:afterAutospacing="1" w:line="360" w:lineRule="auto"/>
        <w:jc w:val="both"/>
        <w:rPr>
          <w:rFonts w:ascii="Arial" w:hAnsi="Arial" w:cs="Arial"/>
          <w:color w:val="000000"/>
          <w:sz w:val="24"/>
          <w:szCs w:val="24"/>
        </w:rPr>
      </w:pPr>
      <w:r w:rsidRPr="005F2BD8">
        <w:rPr>
          <w:rFonts w:ascii="Arial" w:eastAsia="Times New Roman" w:hAnsi="Arial" w:cs="Arial"/>
          <w:color w:val="000000"/>
          <w:sz w:val="24"/>
          <w:szCs w:val="24"/>
          <w:lang w:eastAsia="es-CL"/>
        </w:rPr>
        <w:t xml:space="preserve">La Figura 1 muestra la distribución regional de femicidios para el año 2019. </w:t>
      </w:r>
      <w:r>
        <w:rPr>
          <w:rFonts w:ascii="Arial" w:eastAsia="Times New Roman" w:hAnsi="Arial" w:cs="Arial"/>
          <w:color w:val="000000"/>
          <w:sz w:val="24"/>
          <w:szCs w:val="24"/>
          <w:lang w:eastAsia="es-CL"/>
        </w:rPr>
        <w:t xml:space="preserve"> </w:t>
      </w:r>
      <w:r w:rsidR="00215FD5" w:rsidRPr="005F2BD8">
        <w:rPr>
          <w:rFonts w:ascii="Arial" w:hAnsi="Arial" w:cs="Arial"/>
          <w:color w:val="000000"/>
          <w:sz w:val="24"/>
          <w:szCs w:val="24"/>
        </w:rPr>
        <w:t>Es importante destacar que, las estadísticas del S</w:t>
      </w:r>
      <w:r>
        <w:rPr>
          <w:rFonts w:ascii="Arial" w:hAnsi="Arial" w:cs="Arial"/>
          <w:color w:val="000000"/>
          <w:sz w:val="24"/>
          <w:szCs w:val="24"/>
        </w:rPr>
        <w:t xml:space="preserve">ernamEG también registran </w:t>
      </w:r>
      <w:r w:rsidR="00215FD5" w:rsidRPr="005F2BD8">
        <w:rPr>
          <w:rFonts w:ascii="Arial" w:hAnsi="Arial" w:cs="Arial"/>
          <w:color w:val="000000"/>
          <w:sz w:val="24"/>
          <w:szCs w:val="24"/>
        </w:rPr>
        <w:t xml:space="preserve">la distribución regional de </w:t>
      </w:r>
      <w:r w:rsidR="00215FD5" w:rsidRPr="002C30AD">
        <w:rPr>
          <w:rFonts w:ascii="Arial" w:hAnsi="Arial" w:cs="Arial"/>
          <w:b/>
          <w:color w:val="000000"/>
          <w:sz w:val="24"/>
          <w:szCs w:val="24"/>
        </w:rPr>
        <w:t>femicidios</w:t>
      </w:r>
      <w:r w:rsidR="00215FD5" w:rsidRPr="005F2BD8">
        <w:rPr>
          <w:rFonts w:ascii="Arial" w:hAnsi="Arial" w:cs="Arial"/>
          <w:color w:val="000000"/>
          <w:sz w:val="24"/>
          <w:szCs w:val="24"/>
        </w:rPr>
        <w:t xml:space="preserve"> frustrados, o sea, de aquellos intentos de asesinato no consumados</w:t>
      </w:r>
      <w:r w:rsidR="00073D38">
        <w:rPr>
          <w:rFonts w:ascii="Arial" w:hAnsi="Arial" w:cs="Arial"/>
          <w:color w:val="000000"/>
          <w:sz w:val="24"/>
          <w:szCs w:val="24"/>
        </w:rPr>
        <w:t xml:space="preserve">. </w:t>
      </w:r>
      <w:r w:rsidR="00215FD5" w:rsidRPr="00073D38">
        <w:rPr>
          <w:rFonts w:ascii="Arial" w:eastAsia="Times New Roman" w:hAnsi="Arial" w:cs="Arial"/>
          <w:color w:val="000000"/>
          <w:sz w:val="24"/>
          <w:szCs w:val="24"/>
          <w:lang w:eastAsia="es-CL"/>
        </w:rPr>
        <w:t>La</w:t>
      </w:r>
      <w:r w:rsidR="00215FD5" w:rsidRPr="005F2BD8">
        <w:rPr>
          <w:rFonts w:ascii="Arial" w:hAnsi="Arial" w:cs="Arial"/>
          <w:color w:val="000000"/>
          <w:sz w:val="24"/>
          <w:szCs w:val="24"/>
        </w:rPr>
        <w:t xml:space="preserve"> Tabla 2 muestra dicha distribución para el periodo </w:t>
      </w:r>
      <w:r>
        <w:rPr>
          <w:rFonts w:ascii="Arial" w:hAnsi="Arial" w:cs="Arial"/>
          <w:color w:val="000000"/>
          <w:sz w:val="24"/>
          <w:szCs w:val="24"/>
        </w:rPr>
        <w:t>2013-2019</w:t>
      </w:r>
      <w:r w:rsidR="00215FD5" w:rsidRPr="005F2BD8">
        <w:rPr>
          <w:rFonts w:ascii="Arial" w:hAnsi="Arial" w:cs="Arial"/>
          <w:color w:val="000000"/>
          <w:sz w:val="24"/>
          <w:szCs w:val="24"/>
        </w:rPr>
        <w:t>.</w:t>
      </w:r>
    </w:p>
    <w:p w:rsidR="00AB2C02" w:rsidRPr="00E8107E"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lang w:eastAsia="es-CL"/>
        </w:rPr>
      </w:pPr>
      <w:bookmarkStart w:id="0" w:name="_GoBack"/>
      <w:bookmarkEnd w:id="0"/>
      <w:r w:rsidRPr="00E8107E">
        <w:rPr>
          <w:rFonts w:ascii="Arial" w:eastAsia="Times New Roman" w:hAnsi="Arial" w:cs="Arial"/>
          <w:b/>
          <w:color w:val="000000"/>
          <w:lang w:eastAsia="es-CL"/>
        </w:rPr>
        <w:t>Tabla 2. Número de femicidios frustrados por región y año</w:t>
      </w:r>
    </w:p>
    <w:tbl>
      <w:tblPr>
        <w:tblW w:w="6729" w:type="dxa"/>
        <w:jc w:val="center"/>
        <w:tblCellMar>
          <w:left w:w="70" w:type="dxa"/>
          <w:right w:w="70" w:type="dxa"/>
        </w:tblCellMar>
        <w:tblLook w:val="04A0"/>
      </w:tblPr>
      <w:tblGrid>
        <w:gridCol w:w="1857"/>
        <w:gridCol w:w="696"/>
        <w:gridCol w:w="696"/>
        <w:gridCol w:w="696"/>
        <w:gridCol w:w="696"/>
        <w:gridCol w:w="696"/>
        <w:gridCol w:w="696"/>
        <w:gridCol w:w="696"/>
      </w:tblGrid>
      <w:tr w:rsidR="00B21111" w:rsidRPr="00E8107E" w:rsidTr="00B21111">
        <w:trPr>
          <w:trHeight w:val="300"/>
          <w:jc w:val="center"/>
        </w:trPr>
        <w:tc>
          <w:tcPr>
            <w:tcW w:w="1857" w:type="dxa"/>
            <w:tcBorders>
              <w:top w:val="single" w:sz="4" w:space="0" w:color="auto"/>
              <w:left w:val="nil"/>
              <w:bottom w:val="single" w:sz="4" w:space="0" w:color="auto"/>
              <w:right w:val="nil"/>
            </w:tcBorders>
            <w:shd w:val="clear" w:color="auto" w:fill="auto"/>
            <w:noWrap/>
            <w:vAlign w:val="center"/>
            <w:hideMark/>
          </w:tcPr>
          <w:p w:rsidR="00B21111" w:rsidRPr="00E8107E" w:rsidRDefault="000F4640"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lastRenderedPageBreak/>
              <w:t>R</w:t>
            </w:r>
            <w:r w:rsidR="00B21111" w:rsidRPr="00E8107E">
              <w:rPr>
                <w:rFonts w:ascii="Arial" w:eastAsia="Times New Roman" w:hAnsi="Arial" w:cs="Arial"/>
                <w:color w:val="000000"/>
                <w:sz w:val="18"/>
                <w:szCs w:val="18"/>
                <w:lang w:eastAsia="es-CL"/>
              </w:rPr>
              <w:t>egión</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2013</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2014</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2015</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2016</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2017</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2018</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2019</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Arica y Parinacota</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Tarapacá</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Antofagasta</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8</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Atacama</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Coquimbo</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Valparaíso</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9</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Metropolitana</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25</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O’Higgins</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8</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Maule</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9</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9</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Ñuble</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Biobío</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9</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9</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8</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Araucanía</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9</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Los Ríos</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Los Lagos</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6</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Aysén</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0</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r>
      <w:tr w:rsidR="00B21111" w:rsidRPr="00E8107E" w:rsidTr="00B21111">
        <w:trPr>
          <w:trHeight w:val="300"/>
          <w:jc w:val="center"/>
        </w:trPr>
        <w:tc>
          <w:tcPr>
            <w:tcW w:w="185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Magallanes</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5</w:t>
            </w:r>
          </w:p>
        </w:tc>
        <w:tc>
          <w:tcPr>
            <w:tcW w:w="696"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w:t>
            </w:r>
          </w:p>
        </w:tc>
      </w:tr>
      <w:tr w:rsidR="00B21111" w:rsidRPr="00E8107E" w:rsidTr="00B21111">
        <w:trPr>
          <w:trHeight w:val="300"/>
          <w:jc w:val="center"/>
        </w:trPr>
        <w:tc>
          <w:tcPr>
            <w:tcW w:w="185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Total</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78</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103</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112</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129</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115</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121</w:t>
            </w:r>
          </w:p>
        </w:tc>
        <w:tc>
          <w:tcPr>
            <w:tcW w:w="696"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108</w:t>
            </w:r>
          </w:p>
        </w:tc>
      </w:tr>
    </w:tbl>
    <w:p w:rsidR="00AB2C02" w:rsidRPr="00E8107E"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Fuente: Servicio Nacional de la Mujer y la Equidad de Género</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p>
    <w:p w:rsidR="00E8107E"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Relacionando la información de femicidios consumados y frustrados, la </w:t>
      </w:r>
      <w:r w:rsidRPr="00E8107E">
        <w:rPr>
          <w:rFonts w:ascii="Arial" w:hAnsi="Arial" w:cs="Arial"/>
          <w:b/>
          <w:color w:val="000000"/>
          <w:sz w:val="24"/>
          <w:szCs w:val="24"/>
        </w:rPr>
        <w:t xml:space="preserve">Tabla 3 </w:t>
      </w:r>
      <w:r w:rsidRPr="005F2BD8">
        <w:rPr>
          <w:rFonts w:ascii="Arial" w:hAnsi="Arial" w:cs="Arial"/>
          <w:color w:val="000000"/>
          <w:sz w:val="24"/>
          <w:szCs w:val="24"/>
        </w:rPr>
        <w:t xml:space="preserve">muestra la tasa efectiva de femicidios, </w:t>
      </w:r>
      <w:r w:rsidRPr="002C30AD">
        <w:rPr>
          <w:rFonts w:ascii="Arial" w:hAnsi="Arial" w:cs="Arial"/>
          <w:color w:val="000000"/>
          <w:sz w:val="24"/>
          <w:szCs w:val="24"/>
        </w:rPr>
        <w:t>o sea, el porcentaje de muertes respecto del total de intentos de</w:t>
      </w:r>
      <w:r w:rsidR="00E8107E" w:rsidRPr="002C30AD">
        <w:rPr>
          <w:rFonts w:ascii="Arial" w:hAnsi="Arial" w:cs="Arial"/>
          <w:color w:val="000000"/>
          <w:sz w:val="24"/>
          <w:szCs w:val="24"/>
        </w:rPr>
        <w:t xml:space="preserve"> </w:t>
      </w:r>
      <w:r w:rsidR="00981034" w:rsidRPr="002C30AD">
        <w:rPr>
          <w:rFonts w:ascii="Arial" w:hAnsi="Arial" w:cs="Arial"/>
          <w:color w:val="000000"/>
          <w:sz w:val="24"/>
          <w:szCs w:val="24"/>
        </w:rPr>
        <w:t xml:space="preserve">asesinato (femicidios consumados más </w:t>
      </w:r>
      <w:r w:rsidR="004D7C34" w:rsidRPr="002C30AD">
        <w:rPr>
          <w:rFonts w:ascii="Arial" w:hAnsi="Arial" w:cs="Arial"/>
          <w:color w:val="000000"/>
          <w:sz w:val="24"/>
          <w:szCs w:val="24"/>
        </w:rPr>
        <w:t xml:space="preserve">femicidios </w:t>
      </w:r>
      <w:r w:rsidR="00981034" w:rsidRPr="002C30AD">
        <w:rPr>
          <w:rFonts w:ascii="Arial" w:hAnsi="Arial" w:cs="Arial"/>
          <w:color w:val="000000"/>
          <w:sz w:val="24"/>
          <w:szCs w:val="24"/>
        </w:rPr>
        <w:t>frustrados) contra las mujeres en Chile</w:t>
      </w:r>
      <w:r w:rsidR="00981034" w:rsidRPr="002C30AD">
        <w:rPr>
          <w:rStyle w:val="Refdenotaalpie"/>
          <w:rFonts w:ascii="Arial" w:hAnsi="Arial" w:cs="Arial"/>
          <w:color w:val="000000"/>
          <w:sz w:val="24"/>
          <w:szCs w:val="24"/>
        </w:rPr>
        <w:footnoteReference w:id="2"/>
      </w:r>
      <w:r w:rsidR="00981034" w:rsidRPr="002C30AD">
        <w:rPr>
          <w:rFonts w:ascii="Arial" w:hAnsi="Arial" w:cs="Arial"/>
          <w:color w:val="000000"/>
          <w:sz w:val="24"/>
          <w:szCs w:val="24"/>
        </w:rPr>
        <w:t>.</w:t>
      </w:r>
      <w:r w:rsidR="00981034">
        <w:rPr>
          <w:rFonts w:ascii="Arial" w:hAnsi="Arial" w:cs="Arial"/>
          <w:color w:val="000000"/>
          <w:sz w:val="24"/>
          <w:szCs w:val="24"/>
        </w:rPr>
        <w:t xml:space="preserve"> </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Como se observa, en los últimos años la tasa promedio de muertes es cercana a un 25%, siendo en los años 2018 y 2019 de un 27,7% y 25,8%, respectivamente. Esto quiere decir que, en Chile, en los dos últimos años, uno de cada cuatro intentos de asesinato termi</w:t>
      </w:r>
      <w:r w:rsidR="00E8107E">
        <w:rPr>
          <w:rFonts w:ascii="Arial" w:hAnsi="Arial" w:cs="Arial"/>
          <w:color w:val="000000"/>
          <w:sz w:val="24"/>
          <w:szCs w:val="24"/>
        </w:rPr>
        <w:t>nó</w:t>
      </w:r>
      <w:r w:rsidRPr="005F2BD8">
        <w:rPr>
          <w:rFonts w:ascii="Arial" w:hAnsi="Arial" w:cs="Arial"/>
          <w:color w:val="000000"/>
          <w:sz w:val="24"/>
          <w:szCs w:val="24"/>
        </w:rPr>
        <w:t xml:space="preserve"> en muerte de la mujer. </w:t>
      </w:r>
    </w:p>
    <w:p w:rsidR="00AB2C02" w:rsidRPr="00E8107E"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lang w:eastAsia="es-CL"/>
        </w:rPr>
      </w:pPr>
      <w:r w:rsidRPr="00E8107E">
        <w:rPr>
          <w:rFonts w:ascii="Arial" w:eastAsia="Times New Roman" w:hAnsi="Arial" w:cs="Arial"/>
          <w:b/>
          <w:color w:val="000000"/>
          <w:lang w:eastAsia="es-CL"/>
        </w:rPr>
        <w:t xml:space="preserve">Tabla 3. </w:t>
      </w:r>
      <w:r w:rsidRPr="00E8107E">
        <w:rPr>
          <w:rFonts w:ascii="Arial" w:hAnsi="Arial" w:cs="Arial"/>
          <w:b/>
          <w:color w:val="000000"/>
        </w:rPr>
        <w:t xml:space="preserve">Tasa efectiva de </w:t>
      </w:r>
      <w:r w:rsidRPr="006874C7">
        <w:rPr>
          <w:rFonts w:ascii="Arial" w:hAnsi="Arial" w:cs="Arial"/>
          <w:b/>
          <w:color w:val="000000"/>
        </w:rPr>
        <w:t>femicidios</w:t>
      </w:r>
      <w:r w:rsidRPr="00E8107E">
        <w:rPr>
          <w:rFonts w:ascii="Arial" w:hAnsi="Arial" w:cs="Arial"/>
          <w:b/>
          <w:color w:val="000000"/>
        </w:rPr>
        <w:t xml:space="preserve"> (consumados)</w:t>
      </w:r>
    </w:p>
    <w:tbl>
      <w:tblPr>
        <w:tblW w:w="6991" w:type="dxa"/>
        <w:jc w:val="center"/>
        <w:tblCellMar>
          <w:left w:w="70" w:type="dxa"/>
          <w:right w:w="70" w:type="dxa"/>
        </w:tblCellMar>
        <w:tblLook w:val="04A0"/>
      </w:tblPr>
      <w:tblGrid>
        <w:gridCol w:w="1412"/>
        <w:gridCol w:w="797"/>
        <w:gridCol w:w="797"/>
        <w:gridCol w:w="797"/>
        <w:gridCol w:w="797"/>
        <w:gridCol w:w="797"/>
        <w:gridCol w:w="797"/>
        <w:gridCol w:w="797"/>
      </w:tblGrid>
      <w:tr w:rsidR="00B21111" w:rsidRPr="00E8107E" w:rsidTr="00B21111">
        <w:trPr>
          <w:trHeight w:val="300"/>
          <w:jc w:val="center"/>
        </w:trPr>
        <w:tc>
          <w:tcPr>
            <w:tcW w:w="1412"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Femicidio</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2013</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2014</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2015</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2016</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2017</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2018</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E8107E">
              <w:rPr>
                <w:rFonts w:ascii="Arial" w:eastAsia="Times New Roman" w:hAnsi="Arial" w:cs="Arial"/>
                <w:b/>
                <w:bCs/>
                <w:color w:val="000000"/>
                <w:sz w:val="18"/>
                <w:szCs w:val="18"/>
                <w:lang w:eastAsia="es-CL"/>
              </w:rPr>
              <w:t>2019</w:t>
            </w:r>
          </w:p>
        </w:tc>
      </w:tr>
      <w:tr w:rsidR="00B21111" w:rsidRPr="00E8107E" w:rsidTr="00B21111">
        <w:trPr>
          <w:trHeight w:val="300"/>
          <w:jc w:val="center"/>
        </w:trPr>
        <w:tc>
          <w:tcPr>
            <w:tcW w:w="1412"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lastRenderedPageBreak/>
              <w:t>Consumados</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40</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40</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45</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34</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44</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42</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46</w:t>
            </w:r>
          </w:p>
        </w:tc>
      </w:tr>
      <w:tr w:rsidR="00B21111" w:rsidRPr="00E8107E" w:rsidTr="00B21111">
        <w:trPr>
          <w:trHeight w:val="300"/>
          <w:jc w:val="center"/>
        </w:trPr>
        <w:tc>
          <w:tcPr>
            <w:tcW w:w="1412"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Frustrados</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78</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103</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112</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129</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115</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121</w:t>
            </w:r>
          </w:p>
        </w:tc>
        <w:tc>
          <w:tcPr>
            <w:tcW w:w="797" w:type="dxa"/>
            <w:tcBorders>
              <w:top w:val="nil"/>
              <w:left w:val="nil"/>
              <w:bottom w:val="nil"/>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108</w:t>
            </w:r>
          </w:p>
        </w:tc>
      </w:tr>
      <w:tr w:rsidR="00B21111" w:rsidRPr="00E8107E" w:rsidTr="00B21111">
        <w:trPr>
          <w:trHeight w:val="300"/>
          <w:jc w:val="center"/>
        </w:trPr>
        <w:tc>
          <w:tcPr>
            <w:tcW w:w="1412"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Tasa efectiva</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33,9%</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28,0%</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28,7%</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20,9%</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27,7%</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25,8%</w:t>
            </w:r>
          </w:p>
        </w:tc>
        <w:tc>
          <w:tcPr>
            <w:tcW w:w="797" w:type="dxa"/>
            <w:tcBorders>
              <w:top w:val="single" w:sz="4" w:space="0" w:color="auto"/>
              <w:left w:val="nil"/>
              <w:bottom w:val="single" w:sz="4" w:space="0" w:color="auto"/>
              <w:right w:val="nil"/>
            </w:tcBorders>
            <w:shd w:val="clear" w:color="auto" w:fill="auto"/>
            <w:noWrap/>
            <w:vAlign w:val="center"/>
            <w:hideMark/>
          </w:tcPr>
          <w:p w:rsidR="00B21111" w:rsidRPr="00E8107E"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E8107E">
              <w:rPr>
                <w:rFonts w:ascii="Arial" w:eastAsia="Times New Roman" w:hAnsi="Arial" w:cs="Arial"/>
                <w:color w:val="000000"/>
                <w:sz w:val="18"/>
                <w:szCs w:val="18"/>
                <w:lang w:eastAsia="es-CL"/>
              </w:rPr>
              <w:t>29,9%</w:t>
            </w:r>
          </w:p>
        </w:tc>
      </w:tr>
    </w:tbl>
    <w:p w:rsidR="000B339D" w:rsidRPr="005F2BD8" w:rsidRDefault="00AB2C02" w:rsidP="000B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24"/>
          <w:szCs w:val="24"/>
          <w:lang w:eastAsia="es-CL"/>
        </w:rPr>
      </w:pPr>
      <w:r w:rsidRPr="00E8107E">
        <w:rPr>
          <w:rFonts w:ascii="Arial" w:eastAsia="Times New Roman" w:hAnsi="Arial" w:cs="Arial"/>
          <w:color w:val="000000"/>
          <w:sz w:val="18"/>
          <w:szCs w:val="18"/>
          <w:lang w:eastAsia="es-CL"/>
        </w:rPr>
        <w:t>Fuente: Elaboración propia</w:t>
      </w:r>
      <w:r w:rsidR="000B339D">
        <w:rPr>
          <w:rFonts w:ascii="Arial" w:eastAsia="Times New Roman" w:hAnsi="Arial" w:cs="Arial"/>
          <w:color w:val="000000"/>
          <w:sz w:val="18"/>
          <w:szCs w:val="18"/>
          <w:lang w:eastAsia="es-CL"/>
        </w:rPr>
        <w:t xml:space="preserve"> </w:t>
      </w:r>
    </w:p>
    <w:p w:rsidR="00AB2C02" w:rsidRPr="00E8107E"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18"/>
          <w:szCs w:val="18"/>
          <w:lang w:eastAsia="es-CL"/>
        </w:rPr>
      </w:pPr>
    </w:p>
    <w:p w:rsidR="00B21111" w:rsidRPr="005F2BD8" w:rsidRDefault="00B21111" w:rsidP="005F2BD8">
      <w:pPr>
        <w:spacing w:before="100" w:beforeAutospacing="1" w:after="100" w:afterAutospacing="1" w:line="360" w:lineRule="auto"/>
        <w:jc w:val="both"/>
        <w:rPr>
          <w:rFonts w:ascii="Arial" w:hAnsi="Arial" w:cs="Arial"/>
          <w:color w:val="000000"/>
          <w:sz w:val="24"/>
          <w:szCs w:val="24"/>
        </w:rPr>
      </w:pP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Si bien la literatura asocia las causas del femicidio a factores o características relacionados al cónyuge o conviviente de la víctima, </w:t>
      </w:r>
      <w:r w:rsidR="0056578E">
        <w:rPr>
          <w:rFonts w:ascii="Arial" w:hAnsi="Arial" w:cs="Arial"/>
          <w:color w:val="000000"/>
          <w:sz w:val="24"/>
          <w:szCs w:val="24"/>
        </w:rPr>
        <w:t xml:space="preserve">(por ejemplo, </w:t>
      </w:r>
      <w:r w:rsidRPr="005F2BD8">
        <w:rPr>
          <w:rFonts w:ascii="Arial" w:hAnsi="Arial" w:cs="Arial"/>
          <w:color w:val="000000"/>
          <w:sz w:val="24"/>
          <w:szCs w:val="24"/>
        </w:rPr>
        <w:t>vulnerabilidad, antecedentes psicológicos y/o psiquiátricos, alcoholismo y drogadicción, entr</w:t>
      </w:r>
      <w:r w:rsidR="0056578E">
        <w:rPr>
          <w:rFonts w:ascii="Arial" w:hAnsi="Arial" w:cs="Arial"/>
          <w:color w:val="000000"/>
          <w:sz w:val="24"/>
          <w:szCs w:val="24"/>
        </w:rPr>
        <w:t>e otros)</w:t>
      </w:r>
      <w:r w:rsidRPr="005F2BD8">
        <w:rPr>
          <w:rFonts w:ascii="Arial" w:hAnsi="Arial" w:cs="Arial"/>
          <w:color w:val="000000"/>
          <w:sz w:val="24"/>
          <w:szCs w:val="24"/>
        </w:rPr>
        <w:t xml:space="preserve"> en muchas </w:t>
      </w:r>
      <w:r w:rsidR="0056578E">
        <w:rPr>
          <w:rFonts w:ascii="Arial" w:hAnsi="Arial" w:cs="Arial"/>
          <w:color w:val="000000"/>
          <w:sz w:val="24"/>
          <w:szCs w:val="24"/>
        </w:rPr>
        <w:t xml:space="preserve">ocasiones </w:t>
      </w:r>
      <w:r w:rsidRPr="005F2BD8">
        <w:rPr>
          <w:rFonts w:ascii="Arial" w:hAnsi="Arial" w:cs="Arial"/>
          <w:color w:val="000000"/>
          <w:sz w:val="24"/>
          <w:szCs w:val="24"/>
        </w:rPr>
        <w:t>el f</w:t>
      </w:r>
      <w:r w:rsidR="00FB2A44">
        <w:rPr>
          <w:rFonts w:ascii="Arial" w:hAnsi="Arial" w:cs="Arial"/>
          <w:color w:val="000000"/>
          <w:sz w:val="24"/>
          <w:szCs w:val="24"/>
        </w:rPr>
        <w:t>emicidio es el resultado de la V</w:t>
      </w:r>
      <w:r w:rsidRPr="005F2BD8">
        <w:rPr>
          <w:rFonts w:ascii="Arial" w:hAnsi="Arial" w:cs="Arial"/>
          <w:color w:val="000000"/>
          <w:sz w:val="24"/>
          <w:szCs w:val="24"/>
        </w:rPr>
        <w:t xml:space="preserve">iolencia Intrafamiliar contra la mujer, ejercida principalmente por su pareja o cónyuge. </w:t>
      </w:r>
      <w:r w:rsidR="00363B8D">
        <w:rPr>
          <w:rFonts w:ascii="Arial" w:hAnsi="Arial" w:cs="Arial"/>
          <w:color w:val="000000"/>
          <w:sz w:val="24"/>
          <w:szCs w:val="24"/>
        </w:rPr>
        <w:t>Esta columna propone entender esta relación a través de un modelo con rezago, es decir, asumiendo que el femicidio que oc</w:t>
      </w:r>
      <w:r w:rsidR="00282E7B">
        <w:rPr>
          <w:rFonts w:ascii="Arial" w:hAnsi="Arial" w:cs="Arial"/>
          <w:color w:val="000000"/>
          <w:sz w:val="24"/>
          <w:szCs w:val="24"/>
        </w:rPr>
        <w:t>urre hoy es el resultado de la Violencia I</w:t>
      </w:r>
      <w:r w:rsidR="00363B8D">
        <w:rPr>
          <w:rFonts w:ascii="Arial" w:hAnsi="Arial" w:cs="Arial"/>
          <w:color w:val="000000"/>
          <w:sz w:val="24"/>
          <w:szCs w:val="24"/>
        </w:rPr>
        <w:t xml:space="preserve">ntrafamiliar </w:t>
      </w:r>
      <w:r w:rsidR="000C6EE6">
        <w:rPr>
          <w:rFonts w:ascii="Arial" w:hAnsi="Arial" w:cs="Arial"/>
          <w:color w:val="000000"/>
          <w:sz w:val="24"/>
          <w:szCs w:val="24"/>
        </w:rPr>
        <w:t xml:space="preserve">contra la mujer </w:t>
      </w:r>
      <w:r w:rsidR="00363B8D">
        <w:rPr>
          <w:rFonts w:ascii="Arial" w:hAnsi="Arial" w:cs="Arial"/>
          <w:color w:val="000000"/>
          <w:sz w:val="24"/>
          <w:szCs w:val="24"/>
        </w:rPr>
        <w:t>que se vivió antes.</w:t>
      </w:r>
    </w:p>
    <w:p w:rsidR="00EB7293"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De acuerdo a esto, en las siguientes figuras se presenta la distribución comunal de femicidios y tasas</w:t>
      </w:r>
      <w:r w:rsidR="00AA2D48">
        <w:rPr>
          <w:rStyle w:val="Refdenotaalpie"/>
          <w:rFonts w:ascii="Arial" w:hAnsi="Arial" w:cs="Arial"/>
          <w:color w:val="000000"/>
          <w:sz w:val="24"/>
          <w:szCs w:val="24"/>
        </w:rPr>
        <w:footnoteReference w:id="3"/>
      </w:r>
      <w:r w:rsidRPr="005F2BD8">
        <w:rPr>
          <w:rFonts w:ascii="Arial" w:hAnsi="Arial" w:cs="Arial"/>
          <w:color w:val="000000"/>
          <w:sz w:val="24"/>
          <w:szCs w:val="24"/>
        </w:rPr>
        <w:t xml:space="preserve"> de casos de Violencia Intrafamiliar contra la mujer con rezagos anuales. O sea, mostramos la distribución de femicidios de un año respecto de la Violencia Intrafamiliar </w:t>
      </w:r>
      <w:r w:rsidRPr="002C30AD">
        <w:rPr>
          <w:rFonts w:ascii="Arial" w:hAnsi="Arial" w:cs="Arial"/>
          <w:color w:val="000000"/>
          <w:sz w:val="24"/>
          <w:szCs w:val="24"/>
        </w:rPr>
        <w:t>contra la mujer</w:t>
      </w:r>
      <w:r w:rsidRPr="005F2BD8">
        <w:rPr>
          <w:rFonts w:ascii="Arial" w:hAnsi="Arial" w:cs="Arial"/>
          <w:color w:val="000000"/>
          <w:sz w:val="24"/>
          <w:szCs w:val="24"/>
        </w:rPr>
        <w:t xml:space="preserve"> ejercida el año anterior. </w:t>
      </w:r>
    </w:p>
    <w:p w:rsidR="00282E7B"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En la </w:t>
      </w:r>
      <w:r w:rsidRPr="00EB7293">
        <w:rPr>
          <w:rFonts w:ascii="Arial" w:hAnsi="Arial" w:cs="Arial"/>
          <w:b/>
          <w:color w:val="000000"/>
          <w:sz w:val="24"/>
          <w:szCs w:val="24"/>
        </w:rPr>
        <w:t>Figura 2</w:t>
      </w:r>
      <w:r w:rsidRPr="005F2BD8">
        <w:rPr>
          <w:rFonts w:ascii="Arial" w:hAnsi="Arial" w:cs="Arial"/>
          <w:color w:val="000000"/>
          <w:sz w:val="24"/>
          <w:szCs w:val="24"/>
        </w:rPr>
        <w:t xml:space="preserve"> se muestras los casos comunales de femicidios de 2019 respecto de la distribución comunal de VIF contra la mujer</w:t>
      </w:r>
      <w:r w:rsidR="00EB7293">
        <w:rPr>
          <w:rFonts w:ascii="Arial" w:hAnsi="Arial" w:cs="Arial"/>
          <w:color w:val="000000"/>
          <w:sz w:val="24"/>
          <w:szCs w:val="24"/>
        </w:rPr>
        <w:t xml:space="preserve"> en 2018;</w:t>
      </w:r>
      <w:r w:rsidRPr="005F2BD8">
        <w:rPr>
          <w:rFonts w:ascii="Arial" w:hAnsi="Arial" w:cs="Arial"/>
          <w:color w:val="000000"/>
          <w:sz w:val="24"/>
          <w:szCs w:val="24"/>
        </w:rPr>
        <w:t xml:space="preserve"> en la </w:t>
      </w:r>
      <w:r w:rsidRPr="00EB7293">
        <w:rPr>
          <w:rFonts w:ascii="Arial" w:hAnsi="Arial" w:cs="Arial"/>
          <w:b/>
          <w:color w:val="000000"/>
          <w:sz w:val="24"/>
          <w:szCs w:val="24"/>
        </w:rPr>
        <w:t>Figura 3</w:t>
      </w:r>
      <w:r w:rsidR="00EB7293">
        <w:rPr>
          <w:rFonts w:ascii="Arial" w:hAnsi="Arial" w:cs="Arial"/>
          <w:color w:val="000000"/>
          <w:sz w:val="24"/>
          <w:szCs w:val="24"/>
        </w:rPr>
        <w:t xml:space="preserve"> los femicidios de</w:t>
      </w:r>
      <w:r w:rsidRPr="005F2BD8">
        <w:rPr>
          <w:rFonts w:ascii="Arial" w:hAnsi="Arial" w:cs="Arial"/>
          <w:color w:val="000000"/>
          <w:sz w:val="24"/>
          <w:szCs w:val="24"/>
        </w:rPr>
        <w:t xml:space="preserve"> 2018</w:t>
      </w:r>
      <w:r w:rsidR="00EB7293">
        <w:rPr>
          <w:rFonts w:ascii="Arial" w:hAnsi="Arial" w:cs="Arial"/>
          <w:color w:val="000000"/>
          <w:sz w:val="24"/>
          <w:szCs w:val="24"/>
        </w:rPr>
        <w:t>,</w:t>
      </w:r>
      <w:r w:rsidRPr="005F2BD8">
        <w:rPr>
          <w:rFonts w:ascii="Arial" w:hAnsi="Arial" w:cs="Arial"/>
          <w:color w:val="000000"/>
          <w:sz w:val="24"/>
          <w:szCs w:val="24"/>
        </w:rPr>
        <w:t xml:space="preserve"> respecto de la VIF contra la mujer </w:t>
      </w:r>
      <w:r w:rsidR="00EB7293">
        <w:rPr>
          <w:rFonts w:ascii="Arial" w:hAnsi="Arial" w:cs="Arial"/>
          <w:color w:val="000000"/>
          <w:sz w:val="24"/>
          <w:szCs w:val="24"/>
        </w:rPr>
        <w:t>en</w:t>
      </w:r>
      <w:r w:rsidRPr="005F2BD8">
        <w:rPr>
          <w:rFonts w:ascii="Arial" w:hAnsi="Arial" w:cs="Arial"/>
          <w:color w:val="000000"/>
          <w:sz w:val="24"/>
          <w:szCs w:val="24"/>
        </w:rPr>
        <w:t xml:space="preserve"> 2017</w:t>
      </w:r>
      <w:r w:rsidR="00EB7293">
        <w:rPr>
          <w:rFonts w:ascii="Arial" w:hAnsi="Arial" w:cs="Arial"/>
          <w:color w:val="000000"/>
          <w:sz w:val="24"/>
          <w:szCs w:val="24"/>
        </w:rPr>
        <w:t>;</w:t>
      </w:r>
      <w:r w:rsidRPr="005F2BD8">
        <w:rPr>
          <w:rFonts w:ascii="Arial" w:hAnsi="Arial" w:cs="Arial"/>
          <w:color w:val="000000"/>
          <w:sz w:val="24"/>
          <w:szCs w:val="24"/>
        </w:rPr>
        <w:t xml:space="preserve"> y finalmente, en la </w:t>
      </w:r>
      <w:r w:rsidRPr="00EB7293">
        <w:rPr>
          <w:rFonts w:ascii="Arial" w:hAnsi="Arial" w:cs="Arial"/>
          <w:b/>
          <w:color w:val="000000"/>
          <w:sz w:val="24"/>
          <w:szCs w:val="24"/>
        </w:rPr>
        <w:t>Figura 4</w:t>
      </w:r>
      <w:r w:rsidRPr="005F2BD8">
        <w:rPr>
          <w:rFonts w:ascii="Arial" w:hAnsi="Arial" w:cs="Arial"/>
          <w:color w:val="000000"/>
          <w:sz w:val="24"/>
          <w:szCs w:val="24"/>
        </w:rPr>
        <w:t xml:space="preserve"> los femicidios del año 2019 respecto de la VIF contra la mujer</w:t>
      </w:r>
      <w:r w:rsidR="00EB7293">
        <w:rPr>
          <w:rFonts w:ascii="Arial" w:hAnsi="Arial" w:cs="Arial"/>
          <w:color w:val="000000"/>
          <w:sz w:val="24"/>
          <w:szCs w:val="24"/>
        </w:rPr>
        <w:t xml:space="preserve"> del año 2018. Como se observa </w:t>
      </w:r>
      <w:r w:rsidRPr="005F2BD8">
        <w:rPr>
          <w:rFonts w:ascii="Arial" w:hAnsi="Arial" w:cs="Arial"/>
          <w:color w:val="000000"/>
          <w:sz w:val="24"/>
          <w:szCs w:val="24"/>
        </w:rPr>
        <w:t xml:space="preserve">en la Figura 2 y Figura 4, los femicidios se producen y concentran en las comunas donde el año anterior se concentraban altas tasas de Violencia Intrafamiliar contra la mujer. </w:t>
      </w:r>
      <w:r w:rsidR="00282E7B">
        <w:rPr>
          <w:rFonts w:ascii="Arial" w:hAnsi="Arial" w:cs="Arial"/>
          <w:color w:val="000000"/>
          <w:sz w:val="24"/>
          <w:szCs w:val="24"/>
        </w:rPr>
        <w:t xml:space="preserve">En ambas figuras, la correlación entre casos </w:t>
      </w:r>
      <w:r w:rsidR="00282E7B">
        <w:rPr>
          <w:rFonts w:ascii="Arial" w:hAnsi="Arial" w:cs="Arial"/>
          <w:color w:val="000000"/>
          <w:sz w:val="24"/>
          <w:szCs w:val="24"/>
        </w:rPr>
        <w:lastRenderedPageBreak/>
        <w:t>de femicidio y Violencia Intrafamiliar presenta un ajuste que permite concluir la presencia de esta relación.</w:t>
      </w:r>
    </w:p>
    <w:p w:rsidR="00C51554" w:rsidRDefault="00282E7B" w:rsidP="005F2BD8">
      <w:pPr>
        <w:spacing w:before="100" w:beforeAutospacing="1" w:after="100" w:afterAutospacing="1" w:line="360" w:lineRule="auto"/>
        <w:jc w:val="both"/>
        <w:rPr>
          <w:rFonts w:ascii="Arial" w:hAnsi="Arial" w:cs="Arial"/>
          <w:color w:val="000000"/>
          <w:sz w:val="24"/>
          <w:szCs w:val="24"/>
        </w:rPr>
      </w:pPr>
      <w:r w:rsidRPr="002C30AD">
        <w:rPr>
          <w:rFonts w:ascii="Arial" w:hAnsi="Arial" w:cs="Arial"/>
          <w:color w:val="000000"/>
          <w:sz w:val="24"/>
          <w:szCs w:val="24"/>
        </w:rPr>
        <w:t xml:space="preserve">Es importante señalar que estas </w:t>
      </w:r>
      <w:r w:rsidR="00C51554" w:rsidRPr="002C30AD">
        <w:rPr>
          <w:rFonts w:ascii="Arial" w:hAnsi="Arial" w:cs="Arial"/>
          <w:color w:val="000000"/>
          <w:sz w:val="24"/>
          <w:szCs w:val="24"/>
        </w:rPr>
        <w:t xml:space="preserve">relaciones solo son descriptivas y evidencian la posible relación causal entre la </w:t>
      </w:r>
      <w:r w:rsidR="00105465" w:rsidRPr="002C30AD">
        <w:rPr>
          <w:rFonts w:ascii="Arial" w:hAnsi="Arial" w:cs="Arial"/>
          <w:color w:val="000000"/>
          <w:sz w:val="24"/>
          <w:szCs w:val="24"/>
        </w:rPr>
        <w:t xml:space="preserve">Violencia intrafamiliar </w:t>
      </w:r>
      <w:r w:rsidR="00C51554" w:rsidRPr="002C30AD">
        <w:rPr>
          <w:rFonts w:ascii="Arial" w:hAnsi="Arial" w:cs="Arial"/>
          <w:color w:val="000000"/>
          <w:sz w:val="24"/>
          <w:szCs w:val="24"/>
        </w:rPr>
        <w:t>contra la mujer y el</w:t>
      </w:r>
      <w:r w:rsidR="00105465" w:rsidRPr="002C30AD">
        <w:rPr>
          <w:rFonts w:ascii="Arial" w:hAnsi="Arial" w:cs="Arial"/>
          <w:color w:val="000000"/>
          <w:sz w:val="24"/>
          <w:szCs w:val="24"/>
        </w:rPr>
        <w:t xml:space="preserve"> femic</w:t>
      </w:r>
      <w:r w:rsidR="00C51554" w:rsidRPr="002C30AD">
        <w:rPr>
          <w:rFonts w:ascii="Arial" w:hAnsi="Arial" w:cs="Arial"/>
          <w:color w:val="000000"/>
          <w:sz w:val="24"/>
          <w:szCs w:val="24"/>
        </w:rPr>
        <w:t>idio. Se requiere generar mayor evidencia, a partir de más estudios, para rediseñar políticas públicas que apunten combatir y reducir este fenómeno social.</w:t>
      </w:r>
    </w:p>
    <w:p w:rsidR="000F4640" w:rsidRPr="005F2BD8" w:rsidRDefault="000F4640" w:rsidP="005F2BD8">
      <w:pPr>
        <w:spacing w:before="100" w:beforeAutospacing="1" w:after="100" w:afterAutospacing="1" w:line="360" w:lineRule="auto"/>
        <w:jc w:val="both"/>
        <w:rPr>
          <w:rFonts w:ascii="Arial" w:hAnsi="Arial" w:cs="Arial"/>
          <w:color w:val="000000"/>
          <w:sz w:val="24"/>
          <w:szCs w:val="24"/>
        </w:rPr>
      </w:pPr>
    </w:p>
    <w:p w:rsidR="00EB4109" w:rsidRPr="005F2BD8" w:rsidRDefault="00EB4109" w:rsidP="005F2BD8">
      <w:pPr>
        <w:spacing w:before="100" w:beforeAutospacing="1" w:after="100" w:afterAutospacing="1" w:line="360" w:lineRule="auto"/>
        <w:jc w:val="both"/>
        <w:rPr>
          <w:rFonts w:ascii="Arial" w:hAnsi="Arial" w:cs="Arial"/>
          <w:color w:val="000000"/>
          <w:sz w:val="24"/>
          <w:szCs w:val="24"/>
        </w:rPr>
      </w:pPr>
    </w:p>
    <w:p w:rsidR="00EB4109" w:rsidRPr="005F2BD8" w:rsidRDefault="00EB4109"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noProof/>
          <w:color w:val="000000"/>
          <w:sz w:val="24"/>
          <w:szCs w:val="24"/>
          <w:lang w:val="en-GB" w:eastAsia="en-GB"/>
        </w:rPr>
        <w:drawing>
          <wp:inline distT="0" distB="0" distL="0" distR="0">
            <wp:extent cx="5048250" cy="2078192"/>
            <wp:effectExtent l="19050" t="0" r="0" b="0"/>
            <wp:docPr id="2" name="Imagen 2" descr="C:\Users\Alumno02\Desktop\Proyectos\Proyecto VIF\Femicidios\fem_2019_VIF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umno02\Desktop\Proyectos\Proyecto VIF\Femicidios\fem_2019_VIF_2018.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0" cy="2078192"/>
                    </a:xfrm>
                    <a:prstGeom prst="rect">
                      <a:avLst/>
                    </a:prstGeom>
                    <a:noFill/>
                    <a:ln>
                      <a:noFill/>
                    </a:ln>
                  </pic:spPr>
                </pic:pic>
              </a:graphicData>
            </a:graphic>
          </wp:inline>
        </w:drawing>
      </w:r>
    </w:p>
    <w:p w:rsidR="00EB4109" w:rsidRPr="00E861C4"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hAnsi="Arial" w:cs="Arial"/>
          <w:b/>
          <w:color w:val="000000"/>
        </w:rPr>
      </w:pPr>
      <w:r w:rsidRPr="00E861C4">
        <w:rPr>
          <w:rFonts w:ascii="Arial" w:eastAsia="Times New Roman" w:hAnsi="Arial" w:cs="Arial"/>
          <w:b/>
          <w:color w:val="000000"/>
          <w:lang w:eastAsia="es-CL"/>
        </w:rPr>
        <w:t xml:space="preserve">Figura 2. </w:t>
      </w:r>
      <w:r w:rsidRPr="00E861C4">
        <w:rPr>
          <w:rFonts w:ascii="Arial" w:hAnsi="Arial" w:cs="Arial"/>
          <w:b/>
          <w:color w:val="000000"/>
        </w:rPr>
        <w:t>Distribución comunal de femicidios</w:t>
      </w:r>
      <w:r w:rsidR="00E861C4">
        <w:rPr>
          <w:rFonts w:ascii="Arial" w:hAnsi="Arial" w:cs="Arial"/>
          <w:b/>
          <w:color w:val="000000"/>
        </w:rPr>
        <w:t xml:space="preserve"> (2019)</w:t>
      </w:r>
      <w:r w:rsidRPr="00E861C4">
        <w:rPr>
          <w:rFonts w:ascii="Arial" w:hAnsi="Arial" w:cs="Arial"/>
          <w:b/>
          <w:color w:val="000000"/>
        </w:rPr>
        <w:t xml:space="preserve"> y VIF contra la mujer</w:t>
      </w:r>
      <w:r w:rsidR="00E861C4">
        <w:rPr>
          <w:rFonts w:ascii="Arial" w:hAnsi="Arial" w:cs="Arial"/>
          <w:b/>
          <w:color w:val="000000"/>
        </w:rPr>
        <w:t xml:space="preserve"> (</w:t>
      </w:r>
      <w:r w:rsidRPr="00E861C4">
        <w:rPr>
          <w:rFonts w:ascii="Arial" w:hAnsi="Arial" w:cs="Arial"/>
          <w:b/>
          <w:color w:val="000000"/>
        </w:rPr>
        <w:t>2018</w:t>
      </w:r>
      <w:r w:rsidR="00E861C4">
        <w:rPr>
          <w:rFonts w:ascii="Arial" w:hAnsi="Arial" w:cs="Arial"/>
          <w:b/>
          <w:color w:val="000000"/>
        </w:rPr>
        <w:t>)</w:t>
      </w:r>
    </w:p>
    <w:p w:rsidR="00AB2C02" w:rsidRPr="005F2BD8"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hAnsi="Arial" w:cs="Arial"/>
          <w:color w:val="000000"/>
          <w:sz w:val="24"/>
          <w:szCs w:val="24"/>
        </w:rPr>
      </w:pPr>
    </w:p>
    <w:p w:rsidR="00EB4109" w:rsidRPr="005F2BD8" w:rsidRDefault="00EB4109"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noProof/>
          <w:color w:val="000000"/>
          <w:sz w:val="24"/>
          <w:szCs w:val="24"/>
          <w:lang w:val="en-GB" w:eastAsia="en-GB"/>
        </w:rPr>
        <w:lastRenderedPageBreak/>
        <w:drawing>
          <wp:inline distT="0" distB="0" distL="0" distR="0">
            <wp:extent cx="5612130" cy="2310322"/>
            <wp:effectExtent l="0" t="0" r="7620" b="0"/>
            <wp:docPr id="3" name="Imagen 3" descr="C:\Users\Alumno02\Desktop\Proyectos\Proyecto VIF\Femicidios\fem_2018_VIF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mno02\Desktop\Proyectos\Proyecto VIF\Femicidios\fem_2018_VIF_2017.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2130" cy="2310322"/>
                    </a:xfrm>
                    <a:prstGeom prst="rect">
                      <a:avLst/>
                    </a:prstGeom>
                    <a:noFill/>
                    <a:ln>
                      <a:noFill/>
                    </a:ln>
                  </pic:spPr>
                </pic:pic>
              </a:graphicData>
            </a:graphic>
          </wp:inline>
        </w:drawing>
      </w:r>
    </w:p>
    <w:p w:rsidR="00AB2C02" w:rsidRPr="00E861C4"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hAnsi="Arial" w:cs="Arial"/>
          <w:b/>
          <w:color w:val="000000"/>
        </w:rPr>
      </w:pPr>
      <w:r w:rsidRPr="00E861C4">
        <w:rPr>
          <w:rFonts w:ascii="Arial" w:eastAsia="Times New Roman" w:hAnsi="Arial" w:cs="Arial"/>
          <w:b/>
          <w:color w:val="000000"/>
          <w:lang w:eastAsia="es-CL"/>
        </w:rPr>
        <w:t xml:space="preserve">Figura 3. </w:t>
      </w:r>
      <w:r w:rsidRPr="00E861C4">
        <w:rPr>
          <w:rFonts w:ascii="Arial" w:hAnsi="Arial" w:cs="Arial"/>
          <w:b/>
          <w:color w:val="000000"/>
        </w:rPr>
        <w:t>Distribución comunal de femicidios</w:t>
      </w:r>
      <w:r w:rsidR="004C031D">
        <w:rPr>
          <w:rFonts w:ascii="Arial" w:hAnsi="Arial" w:cs="Arial"/>
          <w:b/>
          <w:color w:val="000000"/>
        </w:rPr>
        <w:t xml:space="preserve"> (2018)</w:t>
      </w:r>
      <w:r w:rsidRPr="00E861C4">
        <w:rPr>
          <w:rFonts w:ascii="Arial" w:hAnsi="Arial" w:cs="Arial"/>
          <w:b/>
          <w:color w:val="000000"/>
        </w:rPr>
        <w:t xml:space="preserve"> y VIF contra la mujer</w:t>
      </w:r>
      <w:r w:rsidR="004C031D">
        <w:rPr>
          <w:rFonts w:ascii="Arial" w:hAnsi="Arial" w:cs="Arial"/>
          <w:b/>
          <w:color w:val="000000"/>
        </w:rPr>
        <w:t xml:space="preserve"> (</w:t>
      </w:r>
      <w:r w:rsidRPr="00E861C4">
        <w:rPr>
          <w:rFonts w:ascii="Arial" w:hAnsi="Arial" w:cs="Arial"/>
          <w:b/>
          <w:color w:val="000000"/>
        </w:rPr>
        <w:t>2017</w:t>
      </w:r>
      <w:r w:rsidR="004C031D">
        <w:rPr>
          <w:rFonts w:ascii="Arial" w:hAnsi="Arial" w:cs="Arial"/>
          <w:b/>
          <w:color w:val="000000"/>
        </w:rPr>
        <w:t>)</w:t>
      </w:r>
    </w:p>
    <w:p w:rsidR="00EB4109" w:rsidRPr="005F2BD8" w:rsidRDefault="00EB4109" w:rsidP="005F2BD8">
      <w:pPr>
        <w:spacing w:before="100" w:beforeAutospacing="1" w:after="100" w:afterAutospacing="1" w:line="360" w:lineRule="auto"/>
        <w:jc w:val="both"/>
        <w:rPr>
          <w:rFonts w:ascii="Arial" w:hAnsi="Arial" w:cs="Arial"/>
          <w:color w:val="000000"/>
          <w:sz w:val="24"/>
          <w:szCs w:val="24"/>
        </w:rPr>
      </w:pPr>
    </w:p>
    <w:p w:rsidR="00EB4109" w:rsidRPr="005F2BD8" w:rsidRDefault="00EB4109"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noProof/>
          <w:color w:val="000000"/>
          <w:sz w:val="24"/>
          <w:szCs w:val="24"/>
          <w:lang w:val="en-GB" w:eastAsia="en-GB"/>
        </w:rPr>
        <w:drawing>
          <wp:inline distT="0" distB="0" distL="0" distR="0">
            <wp:extent cx="5612130" cy="2310322"/>
            <wp:effectExtent l="0" t="0" r="7620" b="0"/>
            <wp:docPr id="4" name="Imagen 4" descr="C:\Users\Alumno02\Desktop\Proyectos\Proyecto VIF\Femicidios\fem_2017_VIF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umno02\Desktop\Proyectos\Proyecto VIF\Femicidios\fem_2017_VIF_2016.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2130" cy="2310322"/>
                    </a:xfrm>
                    <a:prstGeom prst="rect">
                      <a:avLst/>
                    </a:prstGeom>
                    <a:noFill/>
                    <a:ln>
                      <a:noFill/>
                    </a:ln>
                  </pic:spPr>
                </pic:pic>
              </a:graphicData>
            </a:graphic>
          </wp:inline>
        </w:drawing>
      </w:r>
    </w:p>
    <w:p w:rsidR="00AB2C02" w:rsidRPr="004C031D"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hAnsi="Arial" w:cs="Arial"/>
          <w:b/>
          <w:color w:val="000000"/>
        </w:rPr>
      </w:pPr>
      <w:r w:rsidRPr="004C031D">
        <w:rPr>
          <w:rFonts w:ascii="Arial" w:eastAsia="Times New Roman" w:hAnsi="Arial" w:cs="Arial"/>
          <w:b/>
          <w:color w:val="000000"/>
          <w:lang w:eastAsia="es-CL"/>
        </w:rPr>
        <w:t xml:space="preserve">Figura 4. </w:t>
      </w:r>
      <w:r w:rsidRPr="004C031D">
        <w:rPr>
          <w:rFonts w:ascii="Arial" w:hAnsi="Arial" w:cs="Arial"/>
          <w:b/>
          <w:color w:val="000000"/>
        </w:rPr>
        <w:t>Distribu</w:t>
      </w:r>
      <w:r w:rsidR="004C031D">
        <w:rPr>
          <w:rFonts w:ascii="Arial" w:hAnsi="Arial" w:cs="Arial"/>
          <w:b/>
          <w:color w:val="000000"/>
        </w:rPr>
        <w:t>ción comunal de femicidios (2017)</w:t>
      </w:r>
      <w:r w:rsidRPr="004C031D">
        <w:rPr>
          <w:rFonts w:ascii="Arial" w:hAnsi="Arial" w:cs="Arial"/>
          <w:b/>
          <w:color w:val="000000"/>
        </w:rPr>
        <w:t xml:space="preserve"> y VIF contra la mujer</w:t>
      </w:r>
      <w:r w:rsidR="004C031D">
        <w:rPr>
          <w:rFonts w:ascii="Arial" w:hAnsi="Arial" w:cs="Arial"/>
          <w:b/>
          <w:color w:val="000000"/>
        </w:rPr>
        <w:t xml:space="preserve"> (</w:t>
      </w:r>
      <w:r w:rsidRPr="004C031D">
        <w:rPr>
          <w:rFonts w:ascii="Arial" w:hAnsi="Arial" w:cs="Arial"/>
          <w:b/>
          <w:color w:val="000000"/>
        </w:rPr>
        <w:t>2016</w:t>
      </w:r>
      <w:r w:rsidR="004C031D">
        <w:rPr>
          <w:rFonts w:ascii="Arial" w:hAnsi="Arial" w:cs="Arial"/>
          <w:b/>
          <w:color w:val="000000"/>
        </w:rPr>
        <w:t>)</w:t>
      </w:r>
    </w:p>
    <w:p w:rsidR="00EB7293" w:rsidRDefault="00EB7293" w:rsidP="005F2BD8">
      <w:pPr>
        <w:spacing w:before="100" w:beforeAutospacing="1" w:after="100" w:afterAutospacing="1" w:line="360" w:lineRule="auto"/>
        <w:jc w:val="both"/>
        <w:rPr>
          <w:rFonts w:ascii="Arial" w:hAnsi="Arial" w:cs="Arial"/>
          <w:color w:val="000000"/>
          <w:sz w:val="24"/>
          <w:szCs w:val="24"/>
        </w:rPr>
      </w:pP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En la </w:t>
      </w:r>
      <w:r w:rsidRPr="00EB7293">
        <w:rPr>
          <w:rFonts w:ascii="Arial" w:hAnsi="Arial" w:cs="Arial"/>
          <w:b/>
          <w:color w:val="000000"/>
          <w:sz w:val="24"/>
          <w:szCs w:val="24"/>
        </w:rPr>
        <w:t>Tabla 4</w:t>
      </w:r>
      <w:r w:rsidRPr="005F2BD8">
        <w:rPr>
          <w:rFonts w:ascii="Arial" w:hAnsi="Arial" w:cs="Arial"/>
          <w:color w:val="000000"/>
          <w:sz w:val="24"/>
          <w:szCs w:val="24"/>
        </w:rPr>
        <w:t xml:space="preserve"> y </w:t>
      </w:r>
      <w:r w:rsidR="00206D4C" w:rsidRPr="00206D4C">
        <w:rPr>
          <w:rFonts w:ascii="Arial" w:hAnsi="Arial" w:cs="Arial"/>
          <w:b/>
          <w:color w:val="000000"/>
          <w:sz w:val="24"/>
          <w:szCs w:val="24"/>
        </w:rPr>
        <w:t xml:space="preserve">Tabla </w:t>
      </w:r>
      <w:r w:rsidRPr="00EB7293">
        <w:rPr>
          <w:rFonts w:ascii="Arial" w:hAnsi="Arial" w:cs="Arial"/>
          <w:b/>
          <w:color w:val="000000"/>
          <w:sz w:val="24"/>
          <w:szCs w:val="24"/>
        </w:rPr>
        <w:t>5</w:t>
      </w:r>
      <w:r w:rsidRPr="005F2BD8">
        <w:rPr>
          <w:rFonts w:ascii="Arial" w:hAnsi="Arial" w:cs="Arial"/>
          <w:color w:val="000000"/>
          <w:sz w:val="24"/>
          <w:szCs w:val="24"/>
        </w:rPr>
        <w:t xml:space="preserve"> se presentan las distribuciones por comuna de casos de femicidio y de Violencia Intrafamiliar contra la mujer, respectivamente, para los años evaluados.</w:t>
      </w:r>
    </w:p>
    <w:p w:rsidR="000F4640" w:rsidRPr="005F2BD8" w:rsidRDefault="000F4640"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24"/>
          <w:szCs w:val="24"/>
          <w:lang w:eastAsia="es-CL"/>
        </w:rPr>
      </w:pPr>
    </w:p>
    <w:p w:rsidR="00AB2C02" w:rsidRPr="004C031D"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lang w:eastAsia="es-CL"/>
        </w:rPr>
      </w:pPr>
      <w:r w:rsidRPr="004C031D">
        <w:rPr>
          <w:rFonts w:ascii="Arial" w:eastAsia="Times New Roman" w:hAnsi="Arial" w:cs="Arial"/>
          <w:b/>
          <w:color w:val="000000"/>
          <w:lang w:eastAsia="es-CL"/>
        </w:rPr>
        <w:lastRenderedPageBreak/>
        <w:t>Tabla 4. Femicidios en el Gran Santiago por comuna y año</w:t>
      </w:r>
    </w:p>
    <w:tbl>
      <w:tblPr>
        <w:tblW w:w="5120" w:type="dxa"/>
        <w:jc w:val="center"/>
        <w:tblCellMar>
          <w:left w:w="70" w:type="dxa"/>
          <w:right w:w="70" w:type="dxa"/>
        </w:tblCellMar>
        <w:tblLook w:val="04A0"/>
      </w:tblPr>
      <w:tblGrid>
        <w:gridCol w:w="1890"/>
        <w:gridCol w:w="646"/>
        <w:gridCol w:w="646"/>
        <w:gridCol w:w="646"/>
        <w:gridCol w:w="646"/>
        <w:gridCol w:w="646"/>
      </w:tblGrid>
      <w:tr w:rsidR="00215FD5" w:rsidRPr="004C031D" w:rsidTr="00B21111">
        <w:trPr>
          <w:trHeight w:val="300"/>
          <w:jc w:val="center"/>
        </w:trPr>
        <w:tc>
          <w:tcPr>
            <w:tcW w:w="1890" w:type="dxa"/>
            <w:tcBorders>
              <w:top w:val="single" w:sz="4" w:space="0" w:color="auto"/>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Comuna</w:t>
            </w:r>
          </w:p>
        </w:tc>
        <w:tc>
          <w:tcPr>
            <w:tcW w:w="646" w:type="dxa"/>
            <w:tcBorders>
              <w:top w:val="single" w:sz="4" w:space="0" w:color="auto"/>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2015</w:t>
            </w:r>
          </w:p>
        </w:tc>
        <w:tc>
          <w:tcPr>
            <w:tcW w:w="646" w:type="dxa"/>
            <w:tcBorders>
              <w:top w:val="single" w:sz="4" w:space="0" w:color="auto"/>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2016</w:t>
            </w:r>
          </w:p>
        </w:tc>
        <w:tc>
          <w:tcPr>
            <w:tcW w:w="646" w:type="dxa"/>
            <w:tcBorders>
              <w:top w:val="single" w:sz="4" w:space="0" w:color="auto"/>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2017</w:t>
            </w:r>
          </w:p>
        </w:tc>
        <w:tc>
          <w:tcPr>
            <w:tcW w:w="646" w:type="dxa"/>
            <w:tcBorders>
              <w:top w:val="single" w:sz="4" w:space="0" w:color="auto"/>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2018</w:t>
            </w:r>
          </w:p>
        </w:tc>
        <w:tc>
          <w:tcPr>
            <w:tcW w:w="646" w:type="dxa"/>
            <w:tcBorders>
              <w:top w:val="single" w:sz="4" w:space="0" w:color="auto"/>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2019</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Santiago</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3</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2</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Cerrillos</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Cerro Navia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Conchalí</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El Bosque</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Estación Central</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Huechuraba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Independencia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Cisterna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Florida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Granja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Pintana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Reina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Las Condes</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Lo Barnechea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Lo Espejo</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Lo Prado</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Macul</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Maipú</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2</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Ñuñoa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Pedro Aguirre Cerda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Peñalolén</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Providencia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Pudahuel</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Quilicura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Quinta Normal</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Recoleta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Renca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Joaquín</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Miguel</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Ramón</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Vitacura</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r>
      <w:tr w:rsidR="00215FD5"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Puente Alto</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4</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nil"/>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r w:rsidR="00215FD5" w:rsidRPr="004C031D" w:rsidTr="00B21111">
        <w:trPr>
          <w:trHeight w:val="300"/>
          <w:jc w:val="center"/>
        </w:trPr>
        <w:tc>
          <w:tcPr>
            <w:tcW w:w="1890" w:type="dxa"/>
            <w:tcBorders>
              <w:top w:val="nil"/>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Bernardo</w:t>
            </w:r>
          </w:p>
        </w:tc>
        <w:tc>
          <w:tcPr>
            <w:tcW w:w="646" w:type="dxa"/>
            <w:tcBorders>
              <w:top w:val="nil"/>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4</w:t>
            </w:r>
          </w:p>
        </w:tc>
        <w:tc>
          <w:tcPr>
            <w:tcW w:w="646" w:type="dxa"/>
            <w:tcBorders>
              <w:top w:val="nil"/>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w:t>
            </w:r>
          </w:p>
        </w:tc>
        <w:tc>
          <w:tcPr>
            <w:tcW w:w="646" w:type="dxa"/>
            <w:tcBorders>
              <w:top w:val="nil"/>
              <w:left w:val="nil"/>
              <w:bottom w:val="single" w:sz="4" w:space="0" w:color="auto"/>
              <w:right w:val="nil"/>
            </w:tcBorders>
            <w:shd w:val="clear" w:color="auto" w:fill="auto"/>
            <w:noWrap/>
            <w:vAlign w:val="center"/>
            <w:hideMark/>
          </w:tcPr>
          <w:p w:rsidR="00215FD5" w:rsidRPr="004C031D" w:rsidRDefault="00215FD5"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1</w:t>
            </w:r>
          </w:p>
        </w:tc>
      </w:tr>
    </w:tbl>
    <w:p w:rsidR="00AB2C02" w:rsidRPr="005F2BD8"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24"/>
          <w:szCs w:val="24"/>
          <w:lang w:eastAsia="es-CL"/>
        </w:rPr>
      </w:pPr>
      <w:r w:rsidRPr="004C031D">
        <w:rPr>
          <w:rFonts w:ascii="Arial" w:eastAsia="Times New Roman" w:hAnsi="Arial" w:cs="Arial"/>
          <w:color w:val="000000"/>
          <w:sz w:val="18"/>
          <w:szCs w:val="18"/>
          <w:lang w:eastAsia="es-CL"/>
        </w:rPr>
        <w:t>Fuente: Servicio Nacional de la Mujer y la Equidad de Género</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p>
    <w:p w:rsidR="00AB2C02" w:rsidRPr="004C031D"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lang w:eastAsia="es-CL"/>
        </w:rPr>
      </w:pPr>
      <w:r w:rsidRPr="004C031D">
        <w:rPr>
          <w:rFonts w:ascii="Arial" w:eastAsia="Times New Roman" w:hAnsi="Arial" w:cs="Arial"/>
          <w:b/>
          <w:color w:val="000000"/>
          <w:lang w:eastAsia="es-CL"/>
        </w:rPr>
        <w:t xml:space="preserve">Tabla 5. </w:t>
      </w:r>
      <w:r w:rsidRPr="004C031D">
        <w:rPr>
          <w:rFonts w:ascii="Arial" w:hAnsi="Arial" w:cs="Arial"/>
          <w:b/>
          <w:color w:val="000000"/>
        </w:rPr>
        <w:t>Violencia Intrafamiliar contra la mujer</w:t>
      </w:r>
      <w:r w:rsidR="004C031D">
        <w:rPr>
          <w:rFonts w:ascii="Arial" w:eastAsia="Times New Roman" w:hAnsi="Arial" w:cs="Arial"/>
          <w:b/>
          <w:color w:val="000000"/>
          <w:lang w:eastAsia="es-CL"/>
        </w:rPr>
        <w:t xml:space="preserve"> en</w:t>
      </w:r>
      <w:r w:rsidRPr="004C031D">
        <w:rPr>
          <w:rFonts w:ascii="Arial" w:eastAsia="Times New Roman" w:hAnsi="Arial" w:cs="Arial"/>
          <w:b/>
          <w:color w:val="000000"/>
          <w:lang w:eastAsia="es-CL"/>
        </w:rPr>
        <w:t xml:space="preserve"> Gran Santiago por comuna y año</w:t>
      </w:r>
      <w:r w:rsidR="00AA2D48">
        <w:rPr>
          <w:rFonts w:ascii="Arial" w:eastAsia="Times New Roman" w:hAnsi="Arial" w:cs="Arial"/>
          <w:b/>
          <w:color w:val="000000"/>
          <w:lang w:eastAsia="es-CL"/>
        </w:rPr>
        <w:t xml:space="preserve"> (casos de VIF por cada 100 mujeres)</w:t>
      </w:r>
    </w:p>
    <w:tbl>
      <w:tblPr>
        <w:tblW w:w="3975" w:type="dxa"/>
        <w:jc w:val="center"/>
        <w:tblCellMar>
          <w:left w:w="70" w:type="dxa"/>
          <w:right w:w="70" w:type="dxa"/>
        </w:tblCellMar>
        <w:tblLook w:val="04A0"/>
      </w:tblPr>
      <w:tblGrid>
        <w:gridCol w:w="1890"/>
        <w:gridCol w:w="695"/>
        <w:gridCol w:w="695"/>
        <w:gridCol w:w="695"/>
      </w:tblGrid>
      <w:tr w:rsidR="00B21111" w:rsidRPr="004C031D" w:rsidTr="00B21111">
        <w:trPr>
          <w:trHeight w:val="300"/>
          <w:jc w:val="center"/>
        </w:trPr>
        <w:tc>
          <w:tcPr>
            <w:tcW w:w="1890" w:type="dxa"/>
            <w:tcBorders>
              <w:top w:val="single" w:sz="4" w:space="0" w:color="auto"/>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Comuna</w:t>
            </w:r>
          </w:p>
        </w:tc>
        <w:tc>
          <w:tcPr>
            <w:tcW w:w="695" w:type="dxa"/>
            <w:tcBorders>
              <w:top w:val="single" w:sz="4" w:space="0" w:color="auto"/>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2016</w:t>
            </w:r>
          </w:p>
        </w:tc>
        <w:tc>
          <w:tcPr>
            <w:tcW w:w="695" w:type="dxa"/>
            <w:tcBorders>
              <w:top w:val="single" w:sz="4" w:space="0" w:color="auto"/>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2017</w:t>
            </w:r>
          </w:p>
        </w:tc>
        <w:tc>
          <w:tcPr>
            <w:tcW w:w="695" w:type="dxa"/>
            <w:tcBorders>
              <w:top w:val="single" w:sz="4" w:space="0" w:color="auto"/>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4C031D">
              <w:rPr>
                <w:rFonts w:ascii="Arial" w:eastAsia="Times New Roman" w:hAnsi="Arial" w:cs="Arial"/>
                <w:b/>
                <w:bCs/>
                <w:color w:val="000000"/>
                <w:sz w:val="18"/>
                <w:szCs w:val="18"/>
                <w:lang w:eastAsia="es-CL"/>
              </w:rPr>
              <w:t>2018</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Santiago</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0,010</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Cerrillos</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0,016</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0,017</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Cerro Navia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Conchalí</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El Bosque</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Estación Central</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Huechuraba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Independencia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Cisterna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Florida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Granja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Pintana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0,017</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0,017</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0,016</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 Reina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0,007</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0,006</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Las Condes</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0,005</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0,004</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Lo Barnechea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0,006</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0,007</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0,005</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Lo Espejo</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Lo Prado</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Macul</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Maipú</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0,010</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Ñuñoa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0,006</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0,007</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0,007</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Pedro Aguirre Cerda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Peñalolén</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Providencia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0,005</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0,005</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Pudahuel</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Quilicura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Quinta Normal</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Recoleta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Renca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Joaquín</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0,012</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0,011</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Miguel</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0,009</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Ramón</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Vitacura</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0,003</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0,004</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0,003</w:t>
            </w:r>
          </w:p>
        </w:tc>
      </w:tr>
      <w:tr w:rsidR="00B21111" w:rsidRPr="004C031D" w:rsidTr="00B21111">
        <w:trPr>
          <w:trHeight w:val="300"/>
          <w:jc w:val="center"/>
        </w:trPr>
        <w:tc>
          <w:tcPr>
            <w:tcW w:w="1890"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Puente Alto</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0,016</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0,016</w:t>
            </w:r>
          </w:p>
        </w:tc>
        <w:tc>
          <w:tcPr>
            <w:tcW w:w="695" w:type="dxa"/>
            <w:tcBorders>
              <w:top w:val="nil"/>
              <w:left w:val="nil"/>
              <w:bottom w:val="nil"/>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r>
      <w:tr w:rsidR="00B21111" w:rsidRPr="004C031D" w:rsidTr="00B21111">
        <w:trPr>
          <w:trHeight w:val="300"/>
          <w:jc w:val="center"/>
        </w:trPr>
        <w:tc>
          <w:tcPr>
            <w:tcW w:w="1890" w:type="dxa"/>
            <w:tcBorders>
              <w:top w:val="nil"/>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San Bernardo</w:t>
            </w:r>
          </w:p>
        </w:tc>
        <w:tc>
          <w:tcPr>
            <w:tcW w:w="695" w:type="dxa"/>
            <w:tcBorders>
              <w:top w:val="nil"/>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c>
          <w:tcPr>
            <w:tcW w:w="695" w:type="dxa"/>
            <w:tcBorders>
              <w:top w:val="nil"/>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0,015</w:t>
            </w:r>
          </w:p>
        </w:tc>
        <w:tc>
          <w:tcPr>
            <w:tcW w:w="695" w:type="dxa"/>
            <w:tcBorders>
              <w:top w:val="nil"/>
              <w:left w:val="nil"/>
              <w:bottom w:val="single" w:sz="4" w:space="0" w:color="auto"/>
              <w:right w:val="nil"/>
            </w:tcBorders>
            <w:shd w:val="clear" w:color="auto" w:fill="auto"/>
            <w:noWrap/>
            <w:vAlign w:val="center"/>
            <w:hideMark/>
          </w:tcPr>
          <w:p w:rsidR="00B21111" w:rsidRPr="004C031D" w:rsidRDefault="00B21111"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4C031D">
              <w:rPr>
                <w:rFonts w:ascii="Arial" w:eastAsia="Times New Roman" w:hAnsi="Arial" w:cs="Arial"/>
                <w:color w:val="000000"/>
                <w:sz w:val="18"/>
                <w:szCs w:val="18"/>
                <w:lang w:eastAsia="es-CL"/>
              </w:rPr>
              <w:t>0,014</w:t>
            </w:r>
          </w:p>
        </w:tc>
      </w:tr>
    </w:tbl>
    <w:p w:rsidR="000B339D" w:rsidRPr="005F2BD8" w:rsidRDefault="000B339D" w:rsidP="000B3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24"/>
          <w:szCs w:val="24"/>
          <w:lang w:eastAsia="es-CL"/>
        </w:rPr>
      </w:pPr>
      <w:r w:rsidRPr="00E8107E">
        <w:rPr>
          <w:rFonts w:ascii="Arial" w:eastAsia="Times New Roman" w:hAnsi="Arial" w:cs="Arial"/>
          <w:color w:val="000000"/>
          <w:sz w:val="18"/>
          <w:szCs w:val="18"/>
          <w:lang w:eastAsia="es-CL"/>
        </w:rPr>
        <w:lastRenderedPageBreak/>
        <w:t>Fuente: Elaboración propia</w:t>
      </w:r>
      <w:r>
        <w:rPr>
          <w:rFonts w:ascii="Arial" w:eastAsia="Times New Roman" w:hAnsi="Arial" w:cs="Arial"/>
          <w:color w:val="000000"/>
          <w:sz w:val="18"/>
          <w:szCs w:val="18"/>
          <w:lang w:eastAsia="es-CL"/>
        </w:rPr>
        <w:t xml:space="preserve"> </w:t>
      </w:r>
    </w:p>
    <w:p w:rsidR="00AA2D48" w:rsidRDefault="00AA2D48" w:rsidP="00D76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hAnsi="Arial" w:cs="Arial"/>
          <w:color w:val="000000"/>
          <w:sz w:val="24"/>
          <w:szCs w:val="24"/>
        </w:rPr>
      </w:pPr>
    </w:p>
    <w:p w:rsidR="00215FD5" w:rsidRPr="004C031D" w:rsidRDefault="00215FD5" w:rsidP="00D76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Arial" w:eastAsia="Times New Roman" w:hAnsi="Arial" w:cs="Arial"/>
          <w:color w:val="000000"/>
          <w:sz w:val="18"/>
          <w:szCs w:val="18"/>
          <w:lang w:eastAsia="es-CL"/>
        </w:rPr>
      </w:pPr>
      <w:r w:rsidRPr="002C30AD">
        <w:rPr>
          <w:rFonts w:ascii="Arial" w:hAnsi="Arial" w:cs="Arial"/>
          <w:color w:val="000000"/>
          <w:sz w:val="24"/>
          <w:szCs w:val="24"/>
        </w:rPr>
        <w:t>Ahora, y sobre la</w:t>
      </w:r>
      <w:r w:rsidR="00C51554" w:rsidRPr="002C30AD">
        <w:rPr>
          <w:rFonts w:ascii="Arial" w:hAnsi="Arial" w:cs="Arial"/>
          <w:color w:val="000000"/>
          <w:sz w:val="24"/>
          <w:szCs w:val="24"/>
        </w:rPr>
        <w:t xml:space="preserve"> evidencia </w:t>
      </w:r>
      <w:r w:rsidR="00164CB5" w:rsidRPr="002C30AD">
        <w:rPr>
          <w:rFonts w:ascii="Arial" w:hAnsi="Arial" w:cs="Arial"/>
          <w:color w:val="000000"/>
          <w:sz w:val="24"/>
          <w:szCs w:val="24"/>
        </w:rPr>
        <w:t xml:space="preserve">que la Violencia contra la mujer podría ser una causa del femicidio, </w:t>
      </w:r>
      <w:r w:rsidR="00282E7B" w:rsidRPr="002C30AD">
        <w:rPr>
          <w:rFonts w:ascii="Arial" w:hAnsi="Arial" w:cs="Arial"/>
          <w:color w:val="000000"/>
          <w:sz w:val="24"/>
          <w:szCs w:val="24"/>
        </w:rPr>
        <w:t>se hace importante estudiar este fenómeno e</w:t>
      </w:r>
      <w:r w:rsidRPr="002C30AD">
        <w:rPr>
          <w:rFonts w:ascii="Arial" w:hAnsi="Arial" w:cs="Arial"/>
          <w:color w:val="000000"/>
          <w:sz w:val="24"/>
          <w:szCs w:val="24"/>
        </w:rPr>
        <w:t xml:space="preserve"> identificar los factores que determinan</w:t>
      </w:r>
      <w:r w:rsidR="00164CB5" w:rsidRPr="002C30AD">
        <w:rPr>
          <w:rFonts w:ascii="Arial" w:hAnsi="Arial" w:cs="Arial"/>
          <w:color w:val="000000"/>
          <w:sz w:val="24"/>
          <w:szCs w:val="24"/>
        </w:rPr>
        <w:t xml:space="preserve"> o explican este tipo de violencia</w:t>
      </w:r>
      <w:r w:rsidRPr="002C30AD">
        <w:rPr>
          <w:rFonts w:ascii="Arial" w:hAnsi="Arial" w:cs="Arial"/>
          <w:color w:val="000000"/>
          <w:sz w:val="24"/>
          <w:szCs w:val="24"/>
        </w:rPr>
        <w:t>. La razón, las políticas públicas y el diseño de programas o intervenciones para reducir/eliminar los casos de VIF contra la mujer debiesen focalizarse sobre la base del conocimiento y la distribución de dichas variables.</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A partir de los registros de casos policiales de Violencia Intrafamiliar (VIF) contra la mujer (violencia física y psicológica) del Centro de Estudios y Análisis del Delito (CEAD) se evaluó la concentración de dichos casos en la zona urbana del Gran Santiago para el año 2017.</w:t>
      </w:r>
      <w:r w:rsidR="00164CB5">
        <w:rPr>
          <w:rFonts w:ascii="Arial" w:hAnsi="Arial" w:cs="Arial"/>
          <w:color w:val="000000"/>
          <w:sz w:val="24"/>
          <w:szCs w:val="24"/>
        </w:rPr>
        <w:t xml:space="preserve"> Estos casos </w:t>
      </w:r>
      <w:r w:rsidR="00164CB5" w:rsidRPr="005F2BD8">
        <w:rPr>
          <w:rFonts w:ascii="Arial" w:hAnsi="Arial" w:cs="Arial"/>
          <w:color w:val="000000"/>
          <w:sz w:val="24"/>
          <w:szCs w:val="24"/>
        </w:rPr>
        <w:t>corresponden a la suma de denuncias má</w:t>
      </w:r>
      <w:r w:rsidR="005613FA">
        <w:rPr>
          <w:rFonts w:ascii="Arial" w:hAnsi="Arial" w:cs="Arial"/>
          <w:color w:val="000000"/>
          <w:sz w:val="24"/>
          <w:szCs w:val="24"/>
        </w:rPr>
        <w:t>s las detenciones en fragancia.</w:t>
      </w:r>
      <w:r w:rsidRPr="005F2BD8">
        <w:rPr>
          <w:rFonts w:ascii="Arial" w:hAnsi="Arial" w:cs="Arial"/>
          <w:color w:val="000000"/>
          <w:sz w:val="24"/>
          <w:szCs w:val="24"/>
        </w:rPr>
        <w:t xml:space="preserve"> Para la evaluación, la unidad de análisis cor</w:t>
      </w:r>
      <w:r w:rsidR="00164CB5">
        <w:rPr>
          <w:rFonts w:ascii="Arial" w:hAnsi="Arial" w:cs="Arial"/>
          <w:color w:val="000000"/>
          <w:sz w:val="24"/>
          <w:szCs w:val="24"/>
        </w:rPr>
        <w:t>respondió a las zonas censales. L</w:t>
      </w:r>
      <w:r w:rsidRPr="005F2BD8">
        <w:rPr>
          <w:rFonts w:ascii="Arial" w:hAnsi="Arial" w:cs="Arial"/>
          <w:color w:val="000000"/>
          <w:sz w:val="24"/>
          <w:szCs w:val="24"/>
        </w:rPr>
        <w:t>a estandarización de los casos de VIF</w:t>
      </w:r>
      <w:r w:rsidR="00164CB5">
        <w:rPr>
          <w:rFonts w:ascii="Arial" w:hAnsi="Arial" w:cs="Arial"/>
          <w:color w:val="000000"/>
          <w:sz w:val="24"/>
          <w:szCs w:val="24"/>
        </w:rPr>
        <w:t xml:space="preserve"> por zona censal</w:t>
      </w:r>
      <w:r w:rsidRPr="005F2BD8">
        <w:rPr>
          <w:rFonts w:ascii="Arial" w:hAnsi="Arial" w:cs="Arial"/>
          <w:color w:val="000000"/>
          <w:sz w:val="24"/>
          <w:szCs w:val="24"/>
        </w:rPr>
        <w:t xml:space="preserve"> se realizó a partir de la población de mujeres proporcionada por el Censo </w:t>
      </w:r>
      <w:r w:rsidR="00164CB5">
        <w:rPr>
          <w:rFonts w:ascii="Arial" w:hAnsi="Arial" w:cs="Arial"/>
          <w:color w:val="000000"/>
          <w:sz w:val="24"/>
          <w:szCs w:val="24"/>
        </w:rPr>
        <w:t>de Población y Vivienda de 2017</w:t>
      </w:r>
      <w:r w:rsidR="005613FA">
        <w:rPr>
          <w:rFonts w:ascii="Arial" w:hAnsi="Arial" w:cs="Arial"/>
          <w:color w:val="000000"/>
          <w:sz w:val="24"/>
          <w:szCs w:val="24"/>
        </w:rPr>
        <w:t>.</w:t>
      </w:r>
    </w:p>
    <w:p w:rsidR="00215FD5" w:rsidRPr="002C30AD" w:rsidRDefault="00A0125E" w:rsidP="005F2BD8">
      <w:pPr>
        <w:spacing w:before="100" w:beforeAutospacing="1" w:after="100" w:afterAutospacing="1" w:line="360" w:lineRule="auto"/>
        <w:jc w:val="both"/>
        <w:rPr>
          <w:rFonts w:ascii="Arial" w:hAnsi="Arial" w:cs="Arial"/>
          <w:color w:val="000000"/>
          <w:sz w:val="24"/>
          <w:szCs w:val="24"/>
        </w:rPr>
      </w:pPr>
      <w:r w:rsidRPr="002C30AD">
        <w:rPr>
          <w:rFonts w:ascii="Arial" w:hAnsi="Arial" w:cs="Arial"/>
          <w:color w:val="000000"/>
          <w:sz w:val="24"/>
          <w:szCs w:val="24"/>
        </w:rPr>
        <w:t xml:space="preserve">En la </w:t>
      </w:r>
      <w:r w:rsidRPr="005613FA">
        <w:rPr>
          <w:rFonts w:ascii="Arial" w:hAnsi="Arial" w:cs="Arial"/>
          <w:b/>
          <w:color w:val="000000"/>
          <w:sz w:val="24"/>
          <w:szCs w:val="24"/>
        </w:rPr>
        <w:t>Figura 5</w:t>
      </w:r>
      <w:r w:rsidRPr="002C30AD">
        <w:rPr>
          <w:rFonts w:ascii="Arial" w:hAnsi="Arial" w:cs="Arial"/>
          <w:color w:val="000000"/>
          <w:sz w:val="24"/>
          <w:szCs w:val="24"/>
        </w:rPr>
        <w:t xml:space="preserve"> se presenta la distribución espacial, a nivel de zona censal, de los casos de Violencia Intrafamiliar total.  A diferencia de las figuras anteriores, en este caso, además de la VIF total, se presenta su descomposición en VIF física y VIF psicológica (Figura 6 y Figura 7, respectivamente). </w:t>
      </w:r>
    </w:p>
    <w:p w:rsidR="00733E8A" w:rsidRPr="00EE3BCD" w:rsidRDefault="00A0125E" w:rsidP="00733E8A">
      <w:pPr>
        <w:spacing w:before="100" w:beforeAutospacing="1" w:after="100" w:afterAutospacing="1" w:line="360" w:lineRule="auto"/>
        <w:jc w:val="both"/>
        <w:rPr>
          <w:rFonts w:ascii="Arial" w:hAnsi="Arial" w:cs="Arial"/>
          <w:color w:val="000000"/>
          <w:sz w:val="24"/>
          <w:szCs w:val="24"/>
          <w:highlight w:val="yellow"/>
        </w:rPr>
      </w:pPr>
      <w:r w:rsidRPr="002C30AD">
        <w:rPr>
          <w:rFonts w:ascii="Arial" w:hAnsi="Arial" w:cs="Arial"/>
          <w:color w:val="000000"/>
          <w:sz w:val="24"/>
          <w:szCs w:val="24"/>
        </w:rPr>
        <w:t xml:space="preserve">En el caso de la VIF física se observa una menor concentración de casos en toda la zona oriente del Gran Santiago, a diferencia de la VIF psicológica que solo la presenta en la zona nor-oriente. </w:t>
      </w:r>
      <w:r w:rsidR="00EE3BCD" w:rsidRPr="002C30AD">
        <w:rPr>
          <w:rFonts w:ascii="Arial" w:hAnsi="Arial" w:cs="Arial"/>
          <w:color w:val="000000"/>
          <w:sz w:val="24"/>
          <w:szCs w:val="24"/>
        </w:rPr>
        <w:t xml:space="preserve">No obstante, en ambos tipos de violencia, así como en la total, las zonas nor-poniente, sur-poniente y sur son las que presentan las mayores concentraciones de casos de VIF. </w:t>
      </w:r>
      <w:r w:rsidRPr="002C30AD">
        <w:rPr>
          <w:rFonts w:ascii="Arial" w:hAnsi="Arial" w:cs="Arial"/>
          <w:color w:val="000000"/>
          <w:sz w:val="24"/>
          <w:szCs w:val="24"/>
        </w:rPr>
        <w:t>Es importante realizar esta desagregación, pues la distribución de la violencia total podría estar sesgada por los casos de VIF psicológica y física</w:t>
      </w:r>
      <w:r w:rsidR="00EE3BCD" w:rsidRPr="002C30AD">
        <w:rPr>
          <w:rFonts w:ascii="Arial" w:hAnsi="Arial" w:cs="Arial"/>
          <w:color w:val="000000"/>
          <w:sz w:val="24"/>
          <w:szCs w:val="24"/>
        </w:rPr>
        <w:t>.</w:t>
      </w:r>
    </w:p>
    <w:p w:rsidR="00EB4109" w:rsidRPr="005F2BD8" w:rsidRDefault="00EB4109" w:rsidP="005F2BD8">
      <w:pPr>
        <w:spacing w:before="100" w:beforeAutospacing="1" w:after="100" w:afterAutospacing="1" w:line="360" w:lineRule="auto"/>
        <w:jc w:val="center"/>
        <w:rPr>
          <w:rFonts w:ascii="Arial" w:hAnsi="Arial" w:cs="Arial"/>
          <w:color w:val="000000"/>
          <w:sz w:val="24"/>
          <w:szCs w:val="24"/>
        </w:rPr>
      </w:pPr>
      <w:r w:rsidRPr="005F2BD8">
        <w:rPr>
          <w:rFonts w:ascii="Arial" w:hAnsi="Arial" w:cs="Arial"/>
          <w:noProof/>
          <w:color w:val="000000"/>
          <w:sz w:val="24"/>
          <w:szCs w:val="24"/>
          <w:lang w:val="en-GB" w:eastAsia="en-GB"/>
        </w:rPr>
        <w:lastRenderedPageBreak/>
        <w:drawing>
          <wp:inline distT="0" distB="0" distL="0" distR="0">
            <wp:extent cx="4148015" cy="3506412"/>
            <wp:effectExtent l="0" t="0" r="5080" b="0"/>
            <wp:docPr id="5" name="Imagen 5" descr="C:\Users\Alumno02\Desktop\Proyectos\Proyecto VIF\Femicidios\VIFmujer20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umno02\Desktop\Proyectos\Proyecto VIF\Femicidios\VIFmujer2017_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8569" cy="3574506"/>
                    </a:xfrm>
                    <a:prstGeom prst="rect">
                      <a:avLst/>
                    </a:prstGeom>
                    <a:noFill/>
                    <a:ln>
                      <a:noFill/>
                    </a:ln>
                  </pic:spPr>
                </pic:pic>
              </a:graphicData>
            </a:graphic>
          </wp:inline>
        </w:drawing>
      </w:r>
    </w:p>
    <w:p w:rsidR="00AB2C02" w:rsidRPr="00767334"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hAnsi="Arial" w:cs="Arial"/>
          <w:b/>
          <w:color w:val="000000"/>
        </w:rPr>
      </w:pPr>
      <w:r w:rsidRPr="00767334">
        <w:rPr>
          <w:rFonts w:ascii="Arial" w:eastAsia="Times New Roman" w:hAnsi="Arial" w:cs="Arial"/>
          <w:b/>
          <w:color w:val="000000"/>
          <w:lang w:eastAsia="es-CL"/>
        </w:rPr>
        <w:t xml:space="preserve">Figura 5. </w:t>
      </w:r>
      <w:r w:rsidRPr="00767334">
        <w:rPr>
          <w:rFonts w:ascii="Arial" w:hAnsi="Arial" w:cs="Arial"/>
          <w:b/>
          <w:color w:val="000000"/>
        </w:rPr>
        <w:t>Distribución espacial de casos de Violencia Intrafamiliar contra la mujer</w:t>
      </w:r>
      <w:r w:rsidR="00164CB5">
        <w:rPr>
          <w:rFonts w:ascii="Arial" w:hAnsi="Arial" w:cs="Arial"/>
          <w:b/>
          <w:color w:val="000000"/>
        </w:rPr>
        <w:t xml:space="preserve">, 2017 </w:t>
      </w:r>
      <w:r w:rsidR="00164CB5">
        <w:rPr>
          <w:rFonts w:ascii="Arial" w:eastAsia="Times New Roman" w:hAnsi="Arial" w:cs="Arial"/>
          <w:b/>
          <w:color w:val="000000"/>
          <w:lang w:eastAsia="es-CL"/>
        </w:rPr>
        <w:t>(casos de VIF por cada 100 mujeres)</w:t>
      </w:r>
    </w:p>
    <w:p w:rsidR="00AB2C02" w:rsidRPr="005F2BD8" w:rsidRDefault="00AB2C02" w:rsidP="005F2BD8">
      <w:pPr>
        <w:spacing w:before="100" w:beforeAutospacing="1" w:after="100" w:afterAutospacing="1" w:line="360" w:lineRule="auto"/>
        <w:jc w:val="center"/>
        <w:rPr>
          <w:rFonts w:ascii="Arial" w:hAnsi="Arial" w:cs="Arial"/>
          <w:color w:val="000000"/>
          <w:sz w:val="24"/>
          <w:szCs w:val="24"/>
        </w:rPr>
      </w:pPr>
    </w:p>
    <w:p w:rsidR="00AB2C02" w:rsidRPr="005F2BD8" w:rsidRDefault="00EB4109" w:rsidP="005F2BD8">
      <w:pPr>
        <w:spacing w:before="100" w:beforeAutospacing="1" w:after="100" w:afterAutospacing="1" w:line="360" w:lineRule="auto"/>
        <w:jc w:val="center"/>
        <w:rPr>
          <w:rFonts w:ascii="Arial" w:hAnsi="Arial" w:cs="Arial"/>
          <w:color w:val="000000"/>
          <w:sz w:val="24"/>
          <w:szCs w:val="24"/>
        </w:rPr>
      </w:pPr>
      <w:r w:rsidRPr="005F2BD8">
        <w:rPr>
          <w:rFonts w:ascii="Arial" w:hAnsi="Arial" w:cs="Arial"/>
          <w:noProof/>
          <w:color w:val="000000"/>
          <w:sz w:val="24"/>
          <w:szCs w:val="24"/>
          <w:lang w:val="en-GB" w:eastAsia="en-GB"/>
        </w:rPr>
        <w:drawing>
          <wp:inline distT="0" distB="0" distL="0" distR="0">
            <wp:extent cx="3641834" cy="3083189"/>
            <wp:effectExtent l="19050" t="0" r="0" b="0"/>
            <wp:docPr id="7" name="Imagen 7" descr="C:\Users\Alumno02\Desktop\Proyectos\Proyecto VIF\Femicidios\VIFmujer_psico_20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umno02\Desktop\Proyectos\Proyecto VIF\Femicidios\VIFmujer_psico_2017_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8200" cy="3097045"/>
                    </a:xfrm>
                    <a:prstGeom prst="rect">
                      <a:avLst/>
                    </a:prstGeom>
                    <a:noFill/>
                    <a:ln>
                      <a:noFill/>
                    </a:ln>
                  </pic:spPr>
                </pic:pic>
              </a:graphicData>
            </a:graphic>
          </wp:inline>
        </w:drawing>
      </w:r>
    </w:p>
    <w:p w:rsidR="00264704" w:rsidRPr="008D68CA" w:rsidRDefault="00AB2C02" w:rsidP="00264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hAnsi="Arial" w:cs="Arial"/>
          <w:b/>
          <w:color w:val="000000"/>
        </w:rPr>
      </w:pPr>
      <w:r w:rsidRPr="008D68CA">
        <w:rPr>
          <w:rFonts w:ascii="Arial" w:eastAsia="Times New Roman" w:hAnsi="Arial" w:cs="Arial"/>
          <w:b/>
          <w:color w:val="000000"/>
          <w:lang w:eastAsia="es-CL"/>
        </w:rPr>
        <w:lastRenderedPageBreak/>
        <w:t xml:space="preserve">Figura 6. </w:t>
      </w:r>
      <w:r w:rsidRPr="008D68CA">
        <w:rPr>
          <w:rFonts w:ascii="Arial" w:hAnsi="Arial" w:cs="Arial"/>
          <w:b/>
          <w:color w:val="000000"/>
        </w:rPr>
        <w:t>Distribución espacial de casos de Violencia Intrafamiliar Psicológica contra la mujer</w:t>
      </w:r>
      <w:r w:rsidR="00164CB5">
        <w:rPr>
          <w:rFonts w:ascii="Arial" w:hAnsi="Arial" w:cs="Arial"/>
          <w:b/>
          <w:color w:val="000000"/>
        </w:rPr>
        <w:t xml:space="preserve">, 2017 </w:t>
      </w:r>
      <w:r w:rsidR="00164CB5">
        <w:rPr>
          <w:rFonts w:ascii="Arial" w:eastAsia="Times New Roman" w:hAnsi="Arial" w:cs="Arial"/>
          <w:b/>
          <w:color w:val="000000"/>
          <w:lang w:eastAsia="es-CL"/>
        </w:rPr>
        <w:t>(casos de VIF por cada 100 mujeres)</w:t>
      </w:r>
    </w:p>
    <w:p w:rsidR="00EB4109" w:rsidRPr="005F2BD8" w:rsidRDefault="00EB4109" w:rsidP="005F2BD8">
      <w:pPr>
        <w:spacing w:before="100" w:beforeAutospacing="1" w:after="100" w:afterAutospacing="1" w:line="360" w:lineRule="auto"/>
        <w:jc w:val="center"/>
        <w:rPr>
          <w:rFonts w:ascii="Arial" w:hAnsi="Arial" w:cs="Arial"/>
          <w:color w:val="000000"/>
          <w:sz w:val="24"/>
          <w:szCs w:val="24"/>
        </w:rPr>
      </w:pPr>
      <w:r w:rsidRPr="005F2BD8">
        <w:rPr>
          <w:rFonts w:ascii="Arial" w:hAnsi="Arial" w:cs="Arial"/>
          <w:noProof/>
          <w:color w:val="000000"/>
          <w:sz w:val="24"/>
          <w:szCs w:val="24"/>
          <w:lang w:val="en-GB" w:eastAsia="en-GB"/>
        </w:rPr>
        <w:drawing>
          <wp:inline distT="0" distB="0" distL="0" distR="0">
            <wp:extent cx="3862551" cy="3265103"/>
            <wp:effectExtent l="19050" t="0" r="4599" b="0"/>
            <wp:docPr id="6" name="Imagen 6" descr="C:\Users\Alumno02\Desktop\Proyectos\Proyecto VIF\Femicidios\VIFmujer_fca_20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umno02\Desktop\Proyectos\Proyecto VIF\Femicidios\VIFmujer_fca_2017_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0911" cy="3305983"/>
                    </a:xfrm>
                    <a:prstGeom prst="rect">
                      <a:avLst/>
                    </a:prstGeom>
                    <a:noFill/>
                    <a:ln>
                      <a:noFill/>
                    </a:ln>
                  </pic:spPr>
                </pic:pic>
              </a:graphicData>
            </a:graphic>
          </wp:inline>
        </w:drawing>
      </w:r>
    </w:p>
    <w:p w:rsidR="00AB2C02" w:rsidRPr="008D68CA"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hAnsi="Arial" w:cs="Arial"/>
          <w:b/>
          <w:color w:val="000000"/>
        </w:rPr>
      </w:pPr>
      <w:r w:rsidRPr="008D68CA">
        <w:rPr>
          <w:rFonts w:ascii="Arial" w:eastAsia="Times New Roman" w:hAnsi="Arial" w:cs="Arial"/>
          <w:b/>
          <w:color w:val="000000"/>
          <w:lang w:eastAsia="es-CL"/>
        </w:rPr>
        <w:t xml:space="preserve">Figura 7. </w:t>
      </w:r>
      <w:r w:rsidRPr="008D68CA">
        <w:rPr>
          <w:rFonts w:ascii="Arial" w:hAnsi="Arial" w:cs="Arial"/>
          <w:b/>
          <w:color w:val="000000"/>
        </w:rPr>
        <w:t>Distribución espacial de casos de Violencia Intrafamiliar Física contra la mujer</w:t>
      </w:r>
      <w:r w:rsidR="00164CB5">
        <w:rPr>
          <w:rFonts w:ascii="Arial" w:hAnsi="Arial" w:cs="Arial"/>
          <w:b/>
          <w:color w:val="000000"/>
        </w:rPr>
        <w:t xml:space="preserve">, 2017 </w:t>
      </w:r>
      <w:r w:rsidR="00164CB5">
        <w:rPr>
          <w:rFonts w:ascii="Arial" w:eastAsia="Times New Roman" w:hAnsi="Arial" w:cs="Arial"/>
          <w:b/>
          <w:color w:val="000000"/>
          <w:lang w:eastAsia="es-CL"/>
        </w:rPr>
        <w:t>(casos de VIF por cada 100 mujeres)</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Como se observa en la </w:t>
      </w:r>
      <w:r w:rsidR="00373158" w:rsidRPr="005613FA">
        <w:rPr>
          <w:rFonts w:ascii="Arial" w:hAnsi="Arial" w:cs="Arial"/>
          <w:b/>
          <w:color w:val="000000"/>
          <w:sz w:val="24"/>
          <w:szCs w:val="24"/>
        </w:rPr>
        <w:t>Tabla 6</w:t>
      </w:r>
      <w:r w:rsidR="00373158">
        <w:rPr>
          <w:rFonts w:ascii="Arial" w:hAnsi="Arial" w:cs="Arial"/>
          <w:color w:val="000000"/>
          <w:sz w:val="24"/>
          <w:szCs w:val="24"/>
        </w:rPr>
        <w:t>,</w:t>
      </w:r>
      <w:r w:rsidRPr="005F2BD8">
        <w:rPr>
          <w:rFonts w:ascii="Arial" w:hAnsi="Arial" w:cs="Arial"/>
          <w:color w:val="000000"/>
          <w:sz w:val="24"/>
          <w:szCs w:val="24"/>
        </w:rPr>
        <w:t xml:space="preserve"> entre 2016 y 2018 </w:t>
      </w:r>
      <w:r w:rsidR="00373158" w:rsidRPr="005F2BD8">
        <w:rPr>
          <w:rFonts w:ascii="Arial" w:hAnsi="Arial" w:cs="Arial"/>
          <w:color w:val="000000"/>
          <w:sz w:val="24"/>
          <w:szCs w:val="24"/>
        </w:rPr>
        <w:t xml:space="preserve">la VIF total </w:t>
      </w:r>
      <w:r w:rsidR="00373158">
        <w:rPr>
          <w:rFonts w:ascii="Arial" w:hAnsi="Arial" w:cs="Arial"/>
          <w:color w:val="000000"/>
          <w:sz w:val="24"/>
          <w:szCs w:val="24"/>
        </w:rPr>
        <w:t xml:space="preserve">fue </w:t>
      </w:r>
      <w:r w:rsidRPr="005F2BD8">
        <w:rPr>
          <w:rFonts w:ascii="Arial" w:hAnsi="Arial" w:cs="Arial"/>
          <w:color w:val="000000"/>
          <w:sz w:val="24"/>
          <w:szCs w:val="24"/>
        </w:rPr>
        <w:t xml:space="preserve">cercana, en promedio para las zonas censales del Gran Santiago, a un caso de violencia por cada 100 mujeres. </w:t>
      </w:r>
      <w:r w:rsidR="00373158">
        <w:rPr>
          <w:rFonts w:ascii="Arial" w:hAnsi="Arial" w:cs="Arial"/>
          <w:color w:val="000000"/>
          <w:sz w:val="24"/>
          <w:szCs w:val="24"/>
        </w:rPr>
        <w:t>En</w:t>
      </w:r>
      <w:r w:rsidRPr="005F2BD8">
        <w:rPr>
          <w:rFonts w:ascii="Arial" w:hAnsi="Arial" w:cs="Arial"/>
          <w:color w:val="000000"/>
          <w:sz w:val="24"/>
          <w:szCs w:val="24"/>
        </w:rPr>
        <w:t xml:space="preserve"> el</w:t>
      </w:r>
      <w:r w:rsidR="00373158">
        <w:rPr>
          <w:rFonts w:ascii="Arial" w:hAnsi="Arial" w:cs="Arial"/>
          <w:color w:val="000000"/>
          <w:sz w:val="24"/>
          <w:szCs w:val="24"/>
        </w:rPr>
        <w:t xml:space="preserve"> mismo periodo </w:t>
      </w:r>
      <w:r w:rsidRPr="005F2BD8">
        <w:rPr>
          <w:rFonts w:ascii="Arial" w:hAnsi="Arial" w:cs="Arial"/>
          <w:color w:val="000000"/>
          <w:sz w:val="24"/>
          <w:szCs w:val="24"/>
        </w:rPr>
        <w:t xml:space="preserve">se generó un aumento de un 23,8% en los casos de VIF </w:t>
      </w:r>
      <w:r w:rsidR="00373158">
        <w:rPr>
          <w:rFonts w:ascii="Arial" w:hAnsi="Arial" w:cs="Arial"/>
          <w:color w:val="000000"/>
          <w:sz w:val="24"/>
          <w:szCs w:val="24"/>
        </w:rPr>
        <w:t xml:space="preserve">total </w:t>
      </w:r>
      <w:r w:rsidRPr="005F2BD8">
        <w:rPr>
          <w:rFonts w:ascii="Arial" w:hAnsi="Arial" w:cs="Arial"/>
          <w:color w:val="000000"/>
          <w:sz w:val="24"/>
          <w:szCs w:val="24"/>
        </w:rPr>
        <w:t xml:space="preserve">contra la mujer. En </w:t>
      </w:r>
      <w:r w:rsidR="00373158">
        <w:rPr>
          <w:rFonts w:ascii="Arial" w:hAnsi="Arial" w:cs="Arial"/>
          <w:color w:val="000000"/>
          <w:sz w:val="24"/>
          <w:szCs w:val="24"/>
        </w:rPr>
        <w:t xml:space="preserve">cuanto a la </w:t>
      </w:r>
      <w:r w:rsidRPr="005F2BD8">
        <w:rPr>
          <w:rFonts w:ascii="Arial" w:hAnsi="Arial" w:cs="Arial"/>
          <w:color w:val="000000"/>
          <w:sz w:val="24"/>
          <w:szCs w:val="24"/>
        </w:rPr>
        <w:t xml:space="preserve">VIF Física y Psicológica, el aumento </w:t>
      </w:r>
      <w:r w:rsidR="00373158">
        <w:rPr>
          <w:rFonts w:ascii="Arial" w:hAnsi="Arial" w:cs="Arial"/>
          <w:color w:val="000000"/>
          <w:sz w:val="24"/>
          <w:szCs w:val="24"/>
        </w:rPr>
        <w:t>fue</w:t>
      </w:r>
      <w:r w:rsidRPr="005F2BD8">
        <w:rPr>
          <w:rFonts w:ascii="Arial" w:hAnsi="Arial" w:cs="Arial"/>
          <w:color w:val="000000"/>
          <w:sz w:val="24"/>
          <w:szCs w:val="24"/>
        </w:rPr>
        <w:t xml:space="preserve"> cercano a un 36% y un 13%, respectivamente.</w:t>
      </w:r>
    </w:p>
    <w:p w:rsidR="000F4640" w:rsidRPr="00373158" w:rsidRDefault="000F4640" w:rsidP="00264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rFonts w:ascii="Arial" w:eastAsia="Times New Roman" w:hAnsi="Arial" w:cs="Arial"/>
          <w:b/>
          <w:color w:val="000000"/>
          <w:lang w:eastAsia="es-CL"/>
        </w:rPr>
      </w:pPr>
    </w:p>
    <w:p w:rsidR="00AB2C02" w:rsidRPr="00373158" w:rsidRDefault="00AB2C02" w:rsidP="005F2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b/>
          <w:color w:val="000000"/>
          <w:lang w:eastAsia="es-CL"/>
        </w:rPr>
      </w:pPr>
      <w:r w:rsidRPr="00373158">
        <w:rPr>
          <w:rFonts w:ascii="Arial" w:eastAsia="Times New Roman" w:hAnsi="Arial" w:cs="Arial"/>
          <w:b/>
          <w:color w:val="000000"/>
          <w:lang w:eastAsia="es-CL"/>
        </w:rPr>
        <w:t xml:space="preserve">Tabla 6. </w:t>
      </w:r>
      <w:r w:rsidRPr="00373158">
        <w:rPr>
          <w:rFonts w:ascii="Arial" w:hAnsi="Arial" w:cs="Arial"/>
          <w:b/>
          <w:color w:val="000000"/>
        </w:rPr>
        <w:t>Tasas promedio de Violencia Intrafamiliar contra la mujer</w:t>
      </w:r>
      <w:r w:rsidR="00164CB5">
        <w:rPr>
          <w:rFonts w:ascii="Arial" w:hAnsi="Arial" w:cs="Arial"/>
          <w:b/>
          <w:color w:val="000000"/>
        </w:rPr>
        <w:t xml:space="preserve"> </w:t>
      </w:r>
      <w:r w:rsidR="00164CB5">
        <w:rPr>
          <w:rFonts w:ascii="Arial" w:eastAsia="Times New Roman" w:hAnsi="Arial" w:cs="Arial"/>
          <w:b/>
          <w:color w:val="000000"/>
          <w:lang w:eastAsia="es-CL"/>
        </w:rPr>
        <w:t>(casos de VIF por cada 100 mujeres)</w:t>
      </w:r>
    </w:p>
    <w:tbl>
      <w:tblPr>
        <w:tblW w:w="5419" w:type="dxa"/>
        <w:jc w:val="center"/>
        <w:tblCellMar>
          <w:left w:w="70" w:type="dxa"/>
          <w:right w:w="70" w:type="dxa"/>
        </w:tblCellMar>
        <w:tblLook w:val="04A0"/>
      </w:tblPr>
      <w:tblGrid>
        <w:gridCol w:w="1988"/>
        <w:gridCol w:w="972"/>
        <w:gridCol w:w="1001"/>
        <w:gridCol w:w="1458"/>
      </w:tblGrid>
      <w:tr w:rsidR="00532E37" w:rsidRPr="00373158" w:rsidTr="00532E37">
        <w:trPr>
          <w:trHeight w:val="255"/>
          <w:jc w:val="center"/>
        </w:trPr>
        <w:tc>
          <w:tcPr>
            <w:tcW w:w="1988" w:type="dxa"/>
            <w:tcBorders>
              <w:top w:val="single" w:sz="4" w:space="0" w:color="auto"/>
              <w:left w:val="nil"/>
              <w:bottom w:val="single" w:sz="4" w:space="0" w:color="auto"/>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373158">
              <w:rPr>
                <w:rFonts w:ascii="Arial" w:eastAsia="Times New Roman" w:hAnsi="Arial" w:cs="Arial"/>
                <w:b/>
                <w:bCs/>
                <w:color w:val="000000"/>
                <w:sz w:val="18"/>
                <w:szCs w:val="18"/>
                <w:lang w:eastAsia="es-CL"/>
              </w:rPr>
              <w:t>Año</w:t>
            </w:r>
          </w:p>
        </w:tc>
        <w:tc>
          <w:tcPr>
            <w:tcW w:w="972" w:type="dxa"/>
            <w:tcBorders>
              <w:top w:val="single" w:sz="4" w:space="0" w:color="auto"/>
              <w:left w:val="nil"/>
              <w:bottom w:val="single" w:sz="4" w:space="0" w:color="auto"/>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373158">
              <w:rPr>
                <w:rFonts w:ascii="Arial" w:eastAsia="Times New Roman" w:hAnsi="Arial" w:cs="Arial"/>
                <w:b/>
                <w:bCs/>
                <w:color w:val="000000"/>
                <w:sz w:val="18"/>
                <w:szCs w:val="18"/>
                <w:lang w:eastAsia="es-CL"/>
              </w:rPr>
              <w:t>VIF Total</w:t>
            </w:r>
          </w:p>
        </w:tc>
        <w:tc>
          <w:tcPr>
            <w:tcW w:w="1001" w:type="dxa"/>
            <w:tcBorders>
              <w:top w:val="single" w:sz="4" w:space="0" w:color="auto"/>
              <w:left w:val="nil"/>
              <w:bottom w:val="single" w:sz="4" w:space="0" w:color="auto"/>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373158">
              <w:rPr>
                <w:rFonts w:ascii="Arial" w:eastAsia="Times New Roman" w:hAnsi="Arial" w:cs="Arial"/>
                <w:b/>
                <w:bCs/>
                <w:color w:val="000000"/>
                <w:sz w:val="18"/>
                <w:szCs w:val="18"/>
                <w:lang w:eastAsia="es-CL"/>
              </w:rPr>
              <w:t xml:space="preserve">VIF </w:t>
            </w:r>
            <w:r w:rsidR="00176ABA" w:rsidRPr="00373158">
              <w:rPr>
                <w:rFonts w:ascii="Arial" w:eastAsia="Times New Roman" w:hAnsi="Arial" w:cs="Arial"/>
                <w:b/>
                <w:bCs/>
                <w:color w:val="000000"/>
                <w:sz w:val="18"/>
                <w:szCs w:val="18"/>
                <w:lang w:eastAsia="es-CL"/>
              </w:rPr>
              <w:t>Física</w:t>
            </w:r>
          </w:p>
        </w:tc>
        <w:tc>
          <w:tcPr>
            <w:tcW w:w="1458" w:type="dxa"/>
            <w:tcBorders>
              <w:top w:val="single" w:sz="4" w:space="0" w:color="auto"/>
              <w:left w:val="nil"/>
              <w:bottom w:val="single" w:sz="4" w:space="0" w:color="auto"/>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center"/>
              <w:rPr>
                <w:rFonts w:ascii="Arial" w:eastAsia="Times New Roman" w:hAnsi="Arial" w:cs="Arial"/>
                <w:b/>
                <w:bCs/>
                <w:color w:val="000000"/>
                <w:sz w:val="18"/>
                <w:szCs w:val="18"/>
                <w:lang w:eastAsia="es-CL"/>
              </w:rPr>
            </w:pPr>
            <w:r w:rsidRPr="00373158">
              <w:rPr>
                <w:rFonts w:ascii="Arial" w:eastAsia="Times New Roman" w:hAnsi="Arial" w:cs="Arial"/>
                <w:b/>
                <w:bCs/>
                <w:color w:val="000000"/>
                <w:sz w:val="18"/>
                <w:szCs w:val="18"/>
                <w:lang w:eastAsia="es-CL"/>
              </w:rPr>
              <w:t>VIF Psicológica</w:t>
            </w:r>
          </w:p>
        </w:tc>
      </w:tr>
      <w:tr w:rsidR="00532E37" w:rsidRPr="00373158" w:rsidTr="00532E37">
        <w:trPr>
          <w:trHeight w:val="255"/>
          <w:jc w:val="center"/>
        </w:trPr>
        <w:tc>
          <w:tcPr>
            <w:tcW w:w="1988"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2016</w:t>
            </w:r>
          </w:p>
        </w:tc>
        <w:tc>
          <w:tcPr>
            <w:tcW w:w="972"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0,97%</w:t>
            </w:r>
          </w:p>
        </w:tc>
        <w:tc>
          <w:tcPr>
            <w:tcW w:w="1001"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0,45%</w:t>
            </w:r>
          </w:p>
        </w:tc>
        <w:tc>
          <w:tcPr>
            <w:tcW w:w="1458"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0,52%</w:t>
            </w:r>
          </w:p>
        </w:tc>
      </w:tr>
      <w:tr w:rsidR="00532E37" w:rsidRPr="00373158" w:rsidTr="00532E37">
        <w:trPr>
          <w:trHeight w:val="255"/>
          <w:jc w:val="center"/>
        </w:trPr>
        <w:tc>
          <w:tcPr>
            <w:tcW w:w="1988"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2017</w:t>
            </w:r>
          </w:p>
        </w:tc>
        <w:tc>
          <w:tcPr>
            <w:tcW w:w="972"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1,20%</w:t>
            </w:r>
          </w:p>
        </w:tc>
        <w:tc>
          <w:tcPr>
            <w:tcW w:w="1001"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0,62%</w:t>
            </w:r>
          </w:p>
        </w:tc>
        <w:tc>
          <w:tcPr>
            <w:tcW w:w="1458"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0,58%</w:t>
            </w:r>
          </w:p>
        </w:tc>
      </w:tr>
      <w:tr w:rsidR="00532E37" w:rsidRPr="00373158" w:rsidTr="00532E37">
        <w:trPr>
          <w:trHeight w:val="255"/>
          <w:jc w:val="center"/>
        </w:trPr>
        <w:tc>
          <w:tcPr>
            <w:tcW w:w="1988"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center"/>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lastRenderedPageBreak/>
              <w:t>2018</w:t>
            </w:r>
          </w:p>
        </w:tc>
        <w:tc>
          <w:tcPr>
            <w:tcW w:w="972"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1,20%</w:t>
            </w:r>
          </w:p>
        </w:tc>
        <w:tc>
          <w:tcPr>
            <w:tcW w:w="1001"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0,62%</w:t>
            </w:r>
          </w:p>
        </w:tc>
        <w:tc>
          <w:tcPr>
            <w:tcW w:w="1458" w:type="dxa"/>
            <w:tcBorders>
              <w:top w:val="nil"/>
              <w:left w:val="nil"/>
              <w:bottom w:val="nil"/>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0,59%</w:t>
            </w:r>
          </w:p>
        </w:tc>
      </w:tr>
      <w:tr w:rsidR="00532E37" w:rsidRPr="00373158" w:rsidTr="00532E37">
        <w:trPr>
          <w:trHeight w:val="255"/>
          <w:jc w:val="center"/>
        </w:trPr>
        <w:tc>
          <w:tcPr>
            <w:tcW w:w="1988" w:type="dxa"/>
            <w:tcBorders>
              <w:top w:val="single" w:sz="4" w:space="0" w:color="auto"/>
              <w:left w:val="nil"/>
              <w:bottom w:val="single" w:sz="4" w:space="0" w:color="auto"/>
              <w:right w:val="nil"/>
            </w:tcBorders>
            <w:shd w:val="clear" w:color="auto" w:fill="auto"/>
            <w:noWrap/>
            <w:vAlign w:val="bottom"/>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Diferencia 2018-2017</w:t>
            </w:r>
          </w:p>
        </w:tc>
        <w:tc>
          <w:tcPr>
            <w:tcW w:w="972" w:type="dxa"/>
            <w:tcBorders>
              <w:top w:val="single" w:sz="4" w:space="0" w:color="auto"/>
              <w:left w:val="nil"/>
              <w:bottom w:val="single" w:sz="4" w:space="0" w:color="auto"/>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23,80%</w:t>
            </w:r>
          </w:p>
        </w:tc>
        <w:tc>
          <w:tcPr>
            <w:tcW w:w="1001" w:type="dxa"/>
            <w:tcBorders>
              <w:top w:val="single" w:sz="4" w:space="0" w:color="auto"/>
              <w:left w:val="nil"/>
              <w:bottom w:val="single" w:sz="4" w:space="0" w:color="auto"/>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36,26%</w:t>
            </w:r>
          </w:p>
        </w:tc>
        <w:tc>
          <w:tcPr>
            <w:tcW w:w="1458" w:type="dxa"/>
            <w:tcBorders>
              <w:top w:val="single" w:sz="4" w:space="0" w:color="auto"/>
              <w:left w:val="nil"/>
              <w:bottom w:val="single" w:sz="4" w:space="0" w:color="auto"/>
              <w:right w:val="nil"/>
            </w:tcBorders>
            <w:shd w:val="clear" w:color="auto" w:fill="auto"/>
            <w:noWrap/>
            <w:vAlign w:val="center"/>
            <w:hideMark/>
          </w:tcPr>
          <w:p w:rsidR="00532E37" w:rsidRPr="00373158" w:rsidRDefault="00532E37" w:rsidP="005F2BD8">
            <w:pPr>
              <w:spacing w:before="100" w:beforeAutospacing="1" w:after="100" w:afterAutospacing="1" w:line="360" w:lineRule="auto"/>
              <w:jc w:val="right"/>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12,93%</w:t>
            </w:r>
          </w:p>
        </w:tc>
      </w:tr>
    </w:tbl>
    <w:p w:rsidR="00532E37" w:rsidRPr="00373158" w:rsidRDefault="00AB2C02" w:rsidP="00373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Arial" w:eastAsia="Times New Roman" w:hAnsi="Arial" w:cs="Arial"/>
          <w:color w:val="000000"/>
          <w:sz w:val="18"/>
          <w:szCs w:val="18"/>
          <w:lang w:eastAsia="es-CL"/>
        </w:rPr>
      </w:pPr>
      <w:r w:rsidRPr="00373158">
        <w:rPr>
          <w:rFonts w:ascii="Arial" w:eastAsia="Times New Roman" w:hAnsi="Arial" w:cs="Arial"/>
          <w:color w:val="000000"/>
          <w:sz w:val="18"/>
          <w:szCs w:val="18"/>
          <w:lang w:eastAsia="es-CL"/>
        </w:rPr>
        <w:t>Fuente: Elaboración propia</w:t>
      </w:r>
    </w:p>
    <w:p w:rsidR="005613FA"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Es importante </w:t>
      </w:r>
      <w:r w:rsidR="00EE3BCD">
        <w:rPr>
          <w:rFonts w:ascii="Arial" w:hAnsi="Arial" w:cs="Arial"/>
          <w:color w:val="000000"/>
          <w:sz w:val="24"/>
          <w:szCs w:val="24"/>
        </w:rPr>
        <w:t xml:space="preserve">destacar el posible sesgo de los resultados presentados, </w:t>
      </w:r>
      <w:r w:rsidRPr="005F2BD8">
        <w:rPr>
          <w:rFonts w:ascii="Arial" w:hAnsi="Arial" w:cs="Arial"/>
          <w:color w:val="000000"/>
          <w:sz w:val="24"/>
          <w:szCs w:val="24"/>
        </w:rPr>
        <w:t xml:space="preserve">señalar que los casos policiales de </w:t>
      </w:r>
      <w:r w:rsidR="00AE307C" w:rsidRPr="002C30AD">
        <w:rPr>
          <w:rFonts w:ascii="Arial" w:hAnsi="Arial" w:cs="Arial"/>
          <w:color w:val="000000"/>
          <w:sz w:val="24"/>
          <w:szCs w:val="24"/>
        </w:rPr>
        <w:t>VIF</w:t>
      </w:r>
      <w:r w:rsidRPr="002C30AD">
        <w:rPr>
          <w:rFonts w:ascii="Arial" w:hAnsi="Arial" w:cs="Arial"/>
          <w:color w:val="000000"/>
          <w:sz w:val="24"/>
          <w:szCs w:val="24"/>
        </w:rPr>
        <w:t xml:space="preserve"> </w:t>
      </w:r>
      <w:r w:rsidRPr="005F2BD8">
        <w:rPr>
          <w:rFonts w:ascii="Arial" w:hAnsi="Arial" w:cs="Arial"/>
          <w:color w:val="000000"/>
          <w:sz w:val="24"/>
          <w:szCs w:val="24"/>
        </w:rPr>
        <w:t xml:space="preserve">corresponden a la suma de denuncias más las detenciones en </w:t>
      </w:r>
      <w:r w:rsidR="00373158" w:rsidRPr="005F2BD8">
        <w:rPr>
          <w:rFonts w:ascii="Arial" w:hAnsi="Arial" w:cs="Arial"/>
          <w:color w:val="000000"/>
          <w:sz w:val="24"/>
          <w:szCs w:val="24"/>
        </w:rPr>
        <w:t>fragancia</w:t>
      </w:r>
      <w:r w:rsidRPr="005F2BD8">
        <w:rPr>
          <w:rFonts w:ascii="Arial" w:hAnsi="Arial" w:cs="Arial"/>
          <w:color w:val="000000"/>
          <w:sz w:val="24"/>
          <w:szCs w:val="24"/>
        </w:rPr>
        <w:t xml:space="preserve">. En este contexto, si bien las denuncias pasan a ser tratadas en los juzgados respectivos, no necesariamente terminan en un veredicto donde se concluya que corresponde efectivamente a un caso de violencia. </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Por otro lado, es importante señalar la subdeclaración que podría tener la violencia psicológica. Esto implica que este tipo de violencia es mucho menos identificada y denunciada por parte de las victimas que la padecen. </w:t>
      </w:r>
    </w:p>
    <w:p w:rsidR="00ED39BD"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A partir de los mismos registros, construimos un modelo espacial </w:t>
      </w:r>
      <w:r w:rsidRPr="00373158">
        <w:rPr>
          <w:rFonts w:ascii="Arial" w:hAnsi="Arial" w:cs="Arial"/>
          <w:b/>
          <w:color w:val="000000"/>
          <w:sz w:val="24"/>
          <w:szCs w:val="24"/>
        </w:rPr>
        <w:t>para evaluar la distribución territorial, y explicar la Violencia Intrafamiliar contra la mujer en la zona urbana del Gran Santiago.</w:t>
      </w:r>
      <w:r w:rsidRPr="005F2BD8">
        <w:rPr>
          <w:rFonts w:ascii="Arial" w:hAnsi="Arial" w:cs="Arial"/>
          <w:color w:val="000000"/>
          <w:sz w:val="24"/>
          <w:szCs w:val="24"/>
        </w:rPr>
        <w:t xml:space="preserve"> Dicho modelo fue construido para el año 2017, considerando la misma unidad territorial (zona censal). </w:t>
      </w:r>
      <w:r w:rsidRPr="00373158">
        <w:rPr>
          <w:rFonts w:ascii="Arial" w:hAnsi="Arial" w:cs="Arial"/>
          <w:b/>
          <w:color w:val="000000"/>
          <w:sz w:val="24"/>
          <w:szCs w:val="24"/>
        </w:rPr>
        <w:t xml:space="preserve">Los resultados muestran una relación negativa entre </w:t>
      </w:r>
      <w:r w:rsidR="00ED39BD">
        <w:rPr>
          <w:rFonts w:ascii="Arial" w:hAnsi="Arial" w:cs="Arial"/>
          <w:b/>
          <w:color w:val="000000"/>
          <w:sz w:val="24"/>
          <w:szCs w:val="24"/>
        </w:rPr>
        <w:t xml:space="preserve">la VIF y la </w:t>
      </w:r>
      <w:r w:rsidRPr="00373158">
        <w:rPr>
          <w:rFonts w:ascii="Arial" w:hAnsi="Arial" w:cs="Arial"/>
          <w:b/>
          <w:color w:val="000000"/>
          <w:sz w:val="24"/>
          <w:szCs w:val="24"/>
        </w:rPr>
        <w:t>educación y el trabajo. Respecto de la educación se observa que, a medida que aumentan los años de escolaridad de hombres y mujeres, las tasas de Violencia Intrafamiliar contra la mujer disminuyen.</w:t>
      </w:r>
      <w:r w:rsidRPr="005F2BD8">
        <w:rPr>
          <w:rFonts w:ascii="Arial" w:hAnsi="Arial" w:cs="Arial"/>
          <w:color w:val="000000"/>
          <w:sz w:val="24"/>
          <w:szCs w:val="24"/>
        </w:rPr>
        <w:t xml:space="preserve"> </w:t>
      </w:r>
    </w:p>
    <w:p w:rsidR="000F4640"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Respecto del trabajo, medido como la proporción de mujeres que trabajan, se observa una relación negativa y significativa respecto de los casos de VIF. Considerando que la violencia sería ejercida principalmente por la pareja, </w:t>
      </w:r>
      <w:r w:rsidRPr="00ED39BD">
        <w:rPr>
          <w:rFonts w:ascii="Arial" w:hAnsi="Arial" w:cs="Arial"/>
          <w:b/>
          <w:color w:val="000000"/>
          <w:sz w:val="24"/>
          <w:szCs w:val="24"/>
        </w:rPr>
        <w:t xml:space="preserve">la educación y el trabajo de la mujer </w:t>
      </w:r>
      <w:r w:rsidR="00ED39BD" w:rsidRPr="00ED39BD">
        <w:rPr>
          <w:rFonts w:ascii="Arial" w:hAnsi="Arial" w:cs="Arial"/>
          <w:b/>
          <w:color w:val="000000"/>
          <w:sz w:val="24"/>
          <w:szCs w:val="24"/>
        </w:rPr>
        <w:t>podrían</w:t>
      </w:r>
      <w:r w:rsidRPr="00ED39BD">
        <w:rPr>
          <w:rFonts w:ascii="Arial" w:hAnsi="Arial" w:cs="Arial"/>
          <w:b/>
          <w:color w:val="000000"/>
          <w:sz w:val="24"/>
          <w:szCs w:val="24"/>
        </w:rPr>
        <w:t xml:space="preserve"> verse como una medida de empoderamiento que reduce la prevalencia de que sea víctima de violencia</w:t>
      </w:r>
      <w:r w:rsidRPr="005F2BD8">
        <w:rPr>
          <w:rFonts w:ascii="Arial" w:hAnsi="Arial" w:cs="Arial"/>
          <w:color w:val="000000"/>
          <w:sz w:val="24"/>
          <w:szCs w:val="24"/>
        </w:rPr>
        <w:t xml:space="preserve">. Por otro, y como la literatura señala que la violencia contra la mujer es ejercida mayoritariamente en sectores vulnerables, </w:t>
      </w:r>
      <w:r w:rsidRPr="002C30AD">
        <w:rPr>
          <w:rFonts w:ascii="Arial" w:hAnsi="Arial" w:cs="Arial"/>
          <w:color w:val="000000"/>
          <w:sz w:val="24"/>
          <w:szCs w:val="24"/>
        </w:rPr>
        <w:t xml:space="preserve">se evaluó y encontró una relación </w:t>
      </w:r>
      <w:r w:rsidR="00621793" w:rsidRPr="002C30AD">
        <w:rPr>
          <w:rFonts w:ascii="Arial" w:hAnsi="Arial" w:cs="Arial"/>
          <w:color w:val="000000"/>
          <w:sz w:val="24"/>
          <w:szCs w:val="24"/>
        </w:rPr>
        <w:t>positiva entre los casos de VIF y su ocurrencia en</w:t>
      </w:r>
      <w:r w:rsidRPr="002C30AD">
        <w:rPr>
          <w:rFonts w:ascii="Arial" w:hAnsi="Arial" w:cs="Arial"/>
          <w:color w:val="000000"/>
          <w:sz w:val="24"/>
          <w:szCs w:val="24"/>
        </w:rPr>
        <w:t xml:space="preserve"> viviendas sociales, lo que implica que los casos de VIF aumentan si </w:t>
      </w:r>
      <w:r w:rsidR="00621793" w:rsidRPr="002C30AD">
        <w:rPr>
          <w:rFonts w:ascii="Arial" w:hAnsi="Arial" w:cs="Arial"/>
          <w:color w:val="000000"/>
          <w:sz w:val="24"/>
          <w:szCs w:val="24"/>
        </w:rPr>
        <w:t>registran</w:t>
      </w:r>
      <w:r w:rsidRPr="002C30AD">
        <w:rPr>
          <w:rFonts w:ascii="Arial" w:hAnsi="Arial" w:cs="Arial"/>
          <w:color w:val="000000"/>
          <w:sz w:val="24"/>
          <w:szCs w:val="24"/>
        </w:rPr>
        <w:t xml:space="preserve"> </w:t>
      </w:r>
      <w:r w:rsidR="00621793" w:rsidRPr="002C30AD">
        <w:rPr>
          <w:rFonts w:ascii="Arial" w:hAnsi="Arial" w:cs="Arial"/>
          <w:color w:val="000000"/>
          <w:sz w:val="24"/>
          <w:szCs w:val="24"/>
        </w:rPr>
        <w:t>en este</w:t>
      </w:r>
      <w:r w:rsidRPr="002C30AD">
        <w:rPr>
          <w:rFonts w:ascii="Arial" w:hAnsi="Arial" w:cs="Arial"/>
          <w:color w:val="000000"/>
          <w:sz w:val="24"/>
          <w:szCs w:val="24"/>
        </w:rPr>
        <w:t xml:space="preserve"> tipo de vivienda</w:t>
      </w:r>
      <w:r w:rsidRPr="005F2BD8">
        <w:rPr>
          <w:rFonts w:ascii="Arial" w:hAnsi="Arial" w:cs="Arial"/>
          <w:color w:val="000000"/>
          <w:sz w:val="24"/>
          <w:szCs w:val="24"/>
        </w:rPr>
        <w:t xml:space="preserve">. Finalmente, y en un contexto de violencia territorial, se relacionó la VIF contra la </w:t>
      </w:r>
      <w:r w:rsidRPr="005F2BD8">
        <w:rPr>
          <w:rFonts w:ascii="Arial" w:hAnsi="Arial" w:cs="Arial"/>
          <w:color w:val="000000"/>
          <w:sz w:val="24"/>
          <w:szCs w:val="24"/>
        </w:rPr>
        <w:lastRenderedPageBreak/>
        <w:t>mujer con la tasa de Delitos de Mayor Connotación Social, encontrándose una relación positiva. Esto implicaría que en barrios violentos o con mayores tasas de delitos, los casos de Violencia Intrafamiliar contra la mujer aumentan</w:t>
      </w:r>
      <w:r w:rsidR="00EE3BCD">
        <w:rPr>
          <w:rStyle w:val="Refdenotaalpie"/>
          <w:rFonts w:ascii="Arial" w:hAnsi="Arial" w:cs="Arial"/>
          <w:color w:val="000000"/>
          <w:sz w:val="24"/>
          <w:szCs w:val="24"/>
        </w:rPr>
        <w:footnoteReference w:id="4"/>
      </w:r>
      <w:r w:rsidRPr="005F2BD8">
        <w:rPr>
          <w:rFonts w:ascii="Arial" w:hAnsi="Arial" w:cs="Arial"/>
          <w:color w:val="000000"/>
          <w:sz w:val="24"/>
          <w:szCs w:val="24"/>
        </w:rPr>
        <w:t xml:space="preserve">. </w:t>
      </w:r>
    </w:p>
    <w:p w:rsidR="00215FD5" w:rsidRPr="005F2BD8" w:rsidRDefault="000F4640"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Política Pública</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 xml:space="preserve">De acuerdo a lo descrito anteriormente, las tasas más altas de Violencia Intrafamiliar contra la mujer se distribuyen espacialmente de manera similar a los casos de femicidio. Esto podría ser evidencia que la VIF contra la mujer antecede al femicidio, y que esa es la variable que hay que intervenir para reducir dichos crímenes. </w:t>
      </w:r>
    </w:p>
    <w:p w:rsidR="00215FD5" w:rsidRPr="005F2BD8" w:rsidRDefault="00215FD5" w:rsidP="005F2BD8">
      <w:pPr>
        <w:spacing w:before="100" w:beforeAutospacing="1" w:after="100" w:afterAutospacing="1" w:line="360" w:lineRule="auto"/>
        <w:jc w:val="both"/>
        <w:rPr>
          <w:rFonts w:ascii="Arial" w:hAnsi="Arial" w:cs="Arial"/>
          <w:color w:val="000000"/>
          <w:sz w:val="24"/>
          <w:szCs w:val="24"/>
        </w:rPr>
      </w:pPr>
      <w:r w:rsidRPr="002C30AD">
        <w:rPr>
          <w:rFonts w:ascii="Arial" w:hAnsi="Arial" w:cs="Arial"/>
          <w:color w:val="000000"/>
          <w:sz w:val="24"/>
          <w:szCs w:val="24"/>
        </w:rPr>
        <w:t xml:space="preserve">Es importante </w:t>
      </w:r>
      <w:r w:rsidR="00884AC5" w:rsidRPr="002C30AD">
        <w:rPr>
          <w:rFonts w:ascii="Arial" w:hAnsi="Arial" w:cs="Arial"/>
          <w:color w:val="000000"/>
          <w:sz w:val="24"/>
          <w:szCs w:val="24"/>
        </w:rPr>
        <w:t>considerar</w:t>
      </w:r>
      <w:r w:rsidRPr="002C30AD">
        <w:rPr>
          <w:rFonts w:ascii="Arial" w:hAnsi="Arial" w:cs="Arial"/>
          <w:color w:val="000000"/>
          <w:sz w:val="24"/>
          <w:szCs w:val="24"/>
        </w:rPr>
        <w:t xml:space="preserve"> l</w:t>
      </w:r>
      <w:r w:rsidR="00884AC5" w:rsidRPr="002C30AD">
        <w:rPr>
          <w:rFonts w:ascii="Arial" w:hAnsi="Arial" w:cs="Arial"/>
          <w:color w:val="000000"/>
          <w:sz w:val="24"/>
          <w:szCs w:val="24"/>
        </w:rPr>
        <w:t>a distribución espacial</w:t>
      </w:r>
      <w:r w:rsidRPr="002C30AD">
        <w:rPr>
          <w:rFonts w:ascii="Arial" w:hAnsi="Arial" w:cs="Arial"/>
          <w:color w:val="000000"/>
          <w:sz w:val="24"/>
          <w:szCs w:val="24"/>
        </w:rPr>
        <w:t>,</w:t>
      </w:r>
      <w:r w:rsidRPr="005F2BD8">
        <w:rPr>
          <w:rFonts w:ascii="Arial" w:hAnsi="Arial" w:cs="Arial"/>
          <w:color w:val="000000"/>
          <w:sz w:val="24"/>
          <w:szCs w:val="24"/>
        </w:rPr>
        <w:t xml:space="preserve"> así como los determinantes que explicarían las altas tasas de VIF para prevenir el femicidio, por lo que las políticas públicas e intervenciones sociales debiesen identificar los territorios donde se concentran los casos de Violencia Intrafamiliar contra la mujer. El diseño programas sociales debe focalizarse de acuerdo a las características de la población que determinan la prevalencia de violencia de género como la educación, el trabajo o la vulnerabilidad de las mujeres. Estas intervenciones debiesen generar como resultado un empoderamiento de la mujer víctima de Violencia Intrafamiliar a través de la educación y el trabajo. </w:t>
      </w:r>
    </w:p>
    <w:p w:rsidR="00215FD5" w:rsidRPr="005F2BD8" w:rsidRDefault="00E37264" w:rsidP="005F2BD8">
      <w:pPr>
        <w:spacing w:before="100" w:beforeAutospacing="1" w:after="100" w:afterAutospacing="1" w:line="360" w:lineRule="auto"/>
        <w:jc w:val="both"/>
        <w:rPr>
          <w:rFonts w:ascii="Arial" w:hAnsi="Arial" w:cs="Arial"/>
          <w:color w:val="000000"/>
          <w:sz w:val="24"/>
          <w:szCs w:val="24"/>
        </w:rPr>
      </w:pPr>
      <w:r w:rsidRPr="002C30AD">
        <w:rPr>
          <w:rFonts w:ascii="Arial" w:hAnsi="Arial" w:cs="Arial"/>
          <w:color w:val="000000"/>
          <w:sz w:val="24"/>
          <w:szCs w:val="24"/>
        </w:rPr>
        <w:t xml:space="preserve">La Ley 20.066 de Violencia Intrafamiliar obliga al estado a otorgar protección a las víctimas y adoptar </w:t>
      </w:r>
      <w:r w:rsidRPr="002C30AD">
        <w:rPr>
          <w:rStyle w:val="Refdecomentario"/>
        </w:rPr>
        <w:t/>
      </w:r>
      <w:r w:rsidRPr="002C30AD">
        <w:rPr>
          <w:rFonts w:ascii="Arial" w:hAnsi="Arial" w:cs="Arial"/>
          <w:color w:val="000000"/>
          <w:sz w:val="24"/>
          <w:szCs w:val="24"/>
        </w:rPr>
        <w:t xml:space="preserve">las medidas conducentes a garantizar la vida, integridad </w:t>
      </w:r>
      <w:r w:rsidRPr="002C30AD">
        <w:rPr>
          <w:rFonts w:ascii="Arial" w:hAnsi="Arial" w:cs="Arial"/>
          <w:color w:val="000000"/>
          <w:sz w:val="24"/>
          <w:szCs w:val="24"/>
        </w:rPr>
        <w:lastRenderedPageBreak/>
        <w:t>personal y seguridad de los miembros de la familia, e implementar políticas orientadas a prevenir la Violencia Intrafamiliar.</w:t>
      </w:r>
      <w:r w:rsidR="00884AC5" w:rsidRPr="002C30AD">
        <w:rPr>
          <w:rFonts w:ascii="Arial" w:hAnsi="Arial" w:cs="Arial"/>
          <w:color w:val="000000"/>
          <w:sz w:val="24"/>
          <w:szCs w:val="24"/>
        </w:rPr>
        <w:t xml:space="preserve"> Para esto</w:t>
      </w:r>
      <w:r w:rsidR="00215FD5" w:rsidRPr="002C30AD">
        <w:rPr>
          <w:rFonts w:ascii="Arial" w:hAnsi="Arial" w:cs="Arial"/>
          <w:color w:val="000000"/>
          <w:sz w:val="24"/>
          <w:szCs w:val="24"/>
        </w:rPr>
        <w:t>, entre los objetivos estratégicos de la Agenda de Género del Servicio Nacional de la Mujer está la idea de ampliar la Ley para abordar todas las formas de violencia contra las mujeres, en los distintos espacios, y no sólo las que se dan en el contexto familiar</w:t>
      </w:r>
      <w:r w:rsidR="00884AC5" w:rsidRPr="002C30AD">
        <w:rPr>
          <w:rFonts w:ascii="Arial" w:hAnsi="Arial" w:cs="Arial"/>
          <w:color w:val="000000"/>
          <w:sz w:val="24"/>
          <w:szCs w:val="24"/>
        </w:rPr>
        <w:t xml:space="preserve">, </w:t>
      </w:r>
      <w:r w:rsidR="00387152" w:rsidRPr="002C30AD">
        <w:rPr>
          <w:rFonts w:ascii="Arial" w:hAnsi="Arial" w:cs="Arial"/>
          <w:color w:val="000000"/>
          <w:sz w:val="24"/>
          <w:szCs w:val="24"/>
        </w:rPr>
        <w:t xml:space="preserve">pues el femicidio es catalogado como tal solo si </w:t>
      </w:r>
      <w:r w:rsidR="00387152" w:rsidRPr="002C30AD">
        <w:rPr>
          <w:rFonts w:ascii="Arial" w:eastAsia="Times New Roman" w:hAnsi="Arial" w:cs="Arial"/>
          <w:color w:val="000000"/>
          <w:sz w:val="24"/>
          <w:szCs w:val="24"/>
          <w:lang w:eastAsia="es-CL"/>
        </w:rPr>
        <w:t>es causado por el esposo o conviviente de la víctima, y no cuando el asesinato es causado por una persona que no tenga dicho vínculo.</w:t>
      </w:r>
    </w:p>
    <w:p w:rsidR="00215FD5" w:rsidRDefault="00215FD5" w:rsidP="005F2BD8">
      <w:pPr>
        <w:spacing w:before="100" w:beforeAutospacing="1" w:after="100" w:afterAutospacing="1" w:line="360" w:lineRule="auto"/>
        <w:jc w:val="both"/>
        <w:rPr>
          <w:rFonts w:ascii="Arial" w:hAnsi="Arial" w:cs="Arial"/>
          <w:color w:val="000000"/>
          <w:sz w:val="24"/>
          <w:szCs w:val="24"/>
        </w:rPr>
      </w:pPr>
      <w:r w:rsidRPr="005F2BD8">
        <w:rPr>
          <w:rFonts w:ascii="Arial" w:hAnsi="Arial" w:cs="Arial"/>
          <w:color w:val="000000"/>
          <w:sz w:val="24"/>
          <w:szCs w:val="24"/>
        </w:rPr>
        <w:t>Finalmente, y para que funcione la Ley en lo que respecta a la protección de las mujeres víctimas de Violencia Intrafamiliar, es importante identificar la diferencia entre una constancia de violencia respecto de una denuncia, pues es esta última la que determina que el caso pase a tribunales y se generen las medidas cautelares y condenas para que la violencia de genero sea prevenida y erradicada. El conocimiento y aumento de las denuncias por parte de las mujeres víctimas de Violencia Intrafamiliar también estaría relacionado al empoderamiento que se debiese buscar como resultado de una política pública.</w:t>
      </w:r>
    </w:p>
    <w:p w:rsidR="005613FA" w:rsidRDefault="005613FA" w:rsidP="005F2BD8">
      <w:pPr>
        <w:spacing w:before="100" w:beforeAutospacing="1" w:after="100" w:afterAutospacing="1" w:line="360" w:lineRule="auto"/>
        <w:jc w:val="both"/>
        <w:rPr>
          <w:rFonts w:ascii="Arial" w:hAnsi="Arial" w:cs="Arial"/>
          <w:color w:val="000000"/>
          <w:sz w:val="24"/>
          <w:szCs w:val="24"/>
        </w:rPr>
      </w:pPr>
    </w:p>
    <w:p w:rsidR="005613FA" w:rsidRDefault="005613FA" w:rsidP="005F2BD8">
      <w:pPr>
        <w:spacing w:before="100" w:beforeAutospacing="1" w:after="100" w:afterAutospacing="1" w:line="360" w:lineRule="auto"/>
        <w:jc w:val="both"/>
        <w:rPr>
          <w:rFonts w:ascii="Arial" w:hAnsi="Arial" w:cs="Arial"/>
          <w:color w:val="000000"/>
          <w:sz w:val="24"/>
          <w:szCs w:val="24"/>
        </w:rPr>
      </w:pPr>
    </w:p>
    <w:p w:rsidR="005613FA" w:rsidRDefault="005613FA" w:rsidP="005F2BD8">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DESTAQUE:</w:t>
      </w:r>
    </w:p>
    <w:p w:rsidR="005613FA" w:rsidRDefault="005613FA" w:rsidP="005F2BD8">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“E</w:t>
      </w:r>
      <w:r w:rsidRPr="005F2BD8">
        <w:rPr>
          <w:rFonts w:ascii="Arial" w:hAnsi="Arial" w:cs="Arial"/>
          <w:color w:val="000000"/>
          <w:sz w:val="24"/>
          <w:szCs w:val="24"/>
        </w:rPr>
        <w:t>n los dos últimos años, uno de cada cuatro intentos de asesinato termi</w:t>
      </w:r>
      <w:r>
        <w:rPr>
          <w:rFonts w:ascii="Arial" w:hAnsi="Arial" w:cs="Arial"/>
          <w:color w:val="000000"/>
          <w:sz w:val="24"/>
          <w:szCs w:val="24"/>
        </w:rPr>
        <w:t>nó</w:t>
      </w:r>
      <w:r w:rsidRPr="005F2BD8">
        <w:rPr>
          <w:rFonts w:ascii="Arial" w:hAnsi="Arial" w:cs="Arial"/>
          <w:color w:val="000000"/>
          <w:sz w:val="24"/>
          <w:szCs w:val="24"/>
        </w:rPr>
        <w:t xml:space="preserve"> en muerte de la mujer</w:t>
      </w:r>
      <w:r>
        <w:rPr>
          <w:rFonts w:ascii="Arial" w:hAnsi="Arial" w:cs="Arial"/>
          <w:color w:val="000000"/>
          <w:sz w:val="24"/>
          <w:szCs w:val="24"/>
        </w:rPr>
        <w:t>”</w:t>
      </w:r>
      <w:r w:rsidRPr="005F2BD8">
        <w:rPr>
          <w:rFonts w:ascii="Arial" w:hAnsi="Arial" w:cs="Arial"/>
          <w:color w:val="000000"/>
          <w:sz w:val="24"/>
          <w:szCs w:val="24"/>
        </w:rPr>
        <w:t>.</w:t>
      </w:r>
    </w:p>
    <w:p w:rsidR="005613FA" w:rsidRDefault="005613FA" w:rsidP="005F2BD8">
      <w:pPr>
        <w:spacing w:before="100" w:beforeAutospacing="1" w:after="100" w:afterAutospacing="1" w:line="360" w:lineRule="auto"/>
        <w:jc w:val="both"/>
        <w:rPr>
          <w:rFonts w:ascii="Arial" w:hAnsi="Arial" w:cs="Arial"/>
          <w:color w:val="000000"/>
          <w:sz w:val="24"/>
          <w:szCs w:val="24"/>
        </w:rPr>
      </w:pPr>
    </w:p>
    <w:p w:rsidR="005613FA" w:rsidRDefault="005613FA" w:rsidP="005F2BD8">
      <w:pPr>
        <w:spacing w:before="100" w:beforeAutospacing="1" w:after="100" w:afterAutospacing="1" w:line="360" w:lineRule="auto"/>
        <w:jc w:val="both"/>
        <w:rPr>
          <w:rFonts w:ascii="Arial" w:hAnsi="Arial" w:cs="Arial"/>
          <w:color w:val="000000"/>
          <w:sz w:val="24"/>
          <w:szCs w:val="24"/>
        </w:rPr>
      </w:pPr>
      <w:r w:rsidRPr="005613FA">
        <w:rPr>
          <w:rFonts w:ascii="Arial" w:hAnsi="Arial" w:cs="Arial"/>
          <w:color w:val="000000"/>
          <w:sz w:val="24"/>
          <w:szCs w:val="24"/>
        </w:rPr>
        <w:t>“Los resultados muestran una relación negativa entre la VIF y la educación y el trabajo. Respecto de la educación se observa que, a medida que aumentan los años de escolaridad de hombres y mujeres, las tasas de Violencia Intrafamiliar contra la mujer disminuyen</w:t>
      </w:r>
      <w:r>
        <w:rPr>
          <w:rFonts w:ascii="Arial" w:hAnsi="Arial" w:cs="Arial"/>
          <w:color w:val="000000"/>
          <w:sz w:val="24"/>
          <w:szCs w:val="24"/>
        </w:rPr>
        <w:t>”</w:t>
      </w:r>
      <w:r w:rsidRPr="005613FA">
        <w:rPr>
          <w:rFonts w:ascii="Arial" w:hAnsi="Arial" w:cs="Arial"/>
          <w:color w:val="000000"/>
          <w:sz w:val="24"/>
          <w:szCs w:val="24"/>
        </w:rPr>
        <w:t>.</w:t>
      </w:r>
    </w:p>
    <w:p w:rsidR="005613FA" w:rsidRDefault="005613FA" w:rsidP="005F2BD8">
      <w:pPr>
        <w:spacing w:before="100" w:beforeAutospacing="1" w:after="100" w:afterAutospacing="1" w:line="360" w:lineRule="auto"/>
        <w:jc w:val="both"/>
        <w:rPr>
          <w:rFonts w:ascii="Arial" w:hAnsi="Arial" w:cs="Arial"/>
          <w:color w:val="000000"/>
          <w:sz w:val="24"/>
          <w:szCs w:val="24"/>
        </w:rPr>
      </w:pPr>
    </w:p>
    <w:p w:rsidR="005613FA" w:rsidRPr="005613FA" w:rsidRDefault="005613FA" w:rsidP="005F2BD8">
      <w:p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w:t>
      </w:r>
      <w:r w:rsidRPr="005F2BD8">
        <w:rPr>
          <w:rFonts w:ascii="Arial" w:hAnsi="Arial" w:cs="Arial"/>
          <w:color w:val="000000"/>
          <w:sz w:val="24"/>
          <w:szCs w:val="24"/>
        </w:rPr>
        <w:t xml:space="preserve">Considerando que la violencia sería ejercida principalmente por la pareja, </w:t>
      </w:r>
      <w:r w:rsidRPr="00ED39BD">
        <w:rPr>
          <w:rFonts w:ascii="Arial" w:hAnsi="Arial" w:cs="Arial"/>
          <w:b/>
          <w:color w:val="000000"/>
          <w:sz w:val="24"/>
          <w:szCs w:val="24"/>
        </w:rPr>
        <w:t>la educación y el trabajo de la mujer podrían verse como una medida de empoderamiento que reduce la prevalencia de que sea víctima de violencia</w:t>
      </w:r>
      <w:r>
        <w:rPr>
          <w:rFonts w:ascii="Arial" w:hAnsi="Arial" w:cs="Arial"/>
          <w:b/>
          <w:color w:val="000000"/>
          <w:sz w:val="24"/>
          <w:szCs w:val="24"/>
        </w:rPr>
        <w:t>”</w:t>
      </w:r>
    </w:p>
    <w:sectPr w:rsidR="005613FA" w:rsidRPr="005613FA" w:rsidSect="002913AD">
      <w:pgSz w:w="12240" w:h="15840"/>
      <w:pgMar w:top="1417" w:right="1701" w:bottom="1417" w:left="1701"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83AD5C" w15:done="0"/>
  <w15:commentEx w15:paraId="0A58BE9F" w15:done="0"/>
  <w15:commentEx w15:paraId="42E8DAE9" w15:done="0"/>
  <w15:commentEx w15:paraId="7DA78C80" w15:done="0"/>
  <w15:commentEx w15:paraId="1EEB654F" w15:done="0"/>
  <w15:commentEx w15:paraId="60C9FC53" w15:done="0"/>
  <w15:commentEx w15:paraId="6ADCE3DD" w15:done="0"/>
  <w15:commentEx w15:paraId="33F002DF" w15:done="0"/>
  <w15:commentEx w15:paraId="30A14D44" w15:done="0"/>
  <w15:commentEx w15:paraId="57912AC7" w15:done="0"/>
  <w15:commentEx w15:paraId="381D91CD" w15:done="0"/>
  <w15:commentEx w15:paraId="413B1061" w15:done="0"/>
  <w15:commentEx w15:paraId="421888FB" w15:done="0"/>
  <w15:commentEx w15:paraId="6E3989A4" w15:done="0"/>
  <w15:commentEx w15:paraId="05A59DD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614" w:rsidRDefault="00A67614" w:rsidP="00E8107E">
      <w:pPr>
        <w:spacing w:after="0" w:line="240" w:lineRule="auto"/>
      </w:pPr>
      <w:r>
        <w:separator/>
      </w:r>
    </w:p>
  </w:endnote>
  <w:endnote w:type="continuationSeparator" w:id="0">
    <w:p w:rsidR="00A67614" w:rsidRDefault="00A67614" w:rsidP="00E810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614" w:rsidRDefault="00A67614" w:rsidP="00E8107E">
      <w:pPr>
        <w:spacing w:after="0" w:line="240" w:lineRule="auto"/>
      </w:pPr>
      <w:r>
        <w:separator/>
      </w:r>
    </w:p>
  </w:footnote>
  <w:footnote w:type="continuationSeparator" w:id="0">
    <w:p w:rsidR="00A67614" w:rsidRDefault="00A67614" w:rsidP="00E8107E">
      <w:pPr>
        <w:spacing w:after="0" w:line="240" w:lineRule="auto"/>
      </w:pPr>
      <w:r>
        <w:continuationSeparator/>
      </w:r>
    </w:p>
  </w:footnote>
  <w:footnote w:id="1">
    <w:p w:rsidR="00C83D9A" w:rsidRDefault="00C83D9A">
      <w:pPr>
        <w:pStyle w:val="Textonotapie"/>
      </w:pPr>
      <w:r>
        <w:rPr>
          <w:rStyle w:val="Refdenotaalpie"/>
        </w:rPr>
        <w:footnoteRef/>
      </w:r>
      <w:r>
        <w:t xml:space="preserve"> D</w:t>
      </w:r>
      <w:r w:rsidRPr="00C83D9A">
        <w:t>e acuerdo a al SernamEG, al 4 de marzo de 2020, ya se registran seis femicidios consumados</w:t>
      </w:r>
      <w:r>
        <w:t>.</w:t>
      </w:r>
    </w:p>
  </w:footnote>
  <w:footnote w:id="2">
    <w:p w:rsidR="002C1467" w:rsidRPr="00073D38" w:rsidRDefault="002C1467" w:rsidP="00981034">
      <w:pPr>
        <w:pStyle w:val="Textonotapie"/>
        <w:jc w:val="both"/>
        <w:rPr>
          <w:rFonts w:ascii="Arial" w:hAnsi="Arial" w:cs="Arial"/>
          <w:sz w:val="18"/>
          <w:szCs w:val="18"/>
          <w:lang w:val="es-MX"/>
        </w:rPr>
      </w:pPr>
      <w:r w:rsidRPr="002C30AD">
        <w:rPr>
          <w:rStyle w:val="Refdenotaalpie"/>
          <w:rFonts w:ascii="Arial" w:hAnsi="Arial" w:cs="Arial"/>
          <w:sz w:val="18"/>
          <w:szCs w:val="18"/>
        </w:rPr>
        <w:footnoteRef/>
      </w:r>
      <w:r w:rsidRPr="002C30AD">
        <w:rPr>
          <w:rFonts w:ascii="Arial" w:hAnsi="Arial" w:cs="Arial"/>
          <w:sz w:val="18"/>
          <w:szCs w:val="18"/>
        </w:rPr>
        <w:t xml:space="preserve"> </w:t>
      </w:r>
      <w:r w:rsidRPr="002C30AD">
        <w:rPr>
          <w:rFonts w:ascii="Arial" w:eastAsia="Times New Roman" w:hAnsi="Arial" w:cs="Arial"/>
          <w:color w:val="000000"/>
          <w:sz w:val="18"/>
          <w:szCs w:val="18"/>
          <w:lang w:eastAsia="es-CL"/>
        </w:rPr>
        <w:t>Ambos, casos de femicidios consumados y frustrados se consideran intentos de asesinato hacia las mujeres. Es importante destacar y relacionar ambas cifras, pues los casos frustrados aumentarían los casos de femicidio consumado si los victimarios hubiesen logrado su objetivo.</w:t>
      </w:r>
    </w:p>
  </w:footnote>
  <w:footnote w:id="3">
    <w:p w:rsidR="002C1467" w:rsidRPr="00AA2D48" w:rsidRDefault="002C1467" w:rsidP="00AA2D48">
      <w:pPr>
        <w:pStyle w:val="Textonotapie"/>
        <w:jc w:val="both"/>
        <w:rPr>
          <w:lang w:val="es-MX"/>
        </w:rPr>
      </w:pPr>
      <w:r w:rsidRPr="002C30AD">
        <w:rPr>
          <w:rStyle w:val="Refdenotaalpie"/>
        </w:rPr>
        <w:footnoteRef/>
      </w:r>
      <w:r w:rsidRPr="002C30AD">
        <w:t xml:space="preserve"> </w:t>
      </w:r>
      <w:r w:rsidRPr="002C30AD">
        <w:rPr>
          <w:rFonts w:ascii="Arial" w:hAnsi="Arial" w:cs="Arial"/>
          <w:color w:val="000000"/>
          <w:sz w:val="18"/>
          <w:szCs w:val="18"/>
        </w:rPr>
        <w:t xml:space="preserve">Descriptivamente, la Violencia Intrafamiliar contra la mujer está medida como número de casos por cada 100 mujeres. De acuerdo a esto, su interpretación resulta similar a un porcentaje (1% implica que 1 de cada 100 mujeres sufre de violencia). </w:t>
      </w:r>
      <w:r w:rsidRPr="002C30AD">
        <w:rPr>
          <w:rStyle w:val="Refdecomentario"/>
          <w:rFonts w:ascii="Arial" w:hAnsi="Arial" w:cs="Arial"/>
          <w:sz w:val="18"/>
          <w:szCs w:val="18"/>
        </w:rPr>
        <w:t/>
      </w:r>
    </w:p>
  </w:footnote>
  <w:footnote w:id="4">
    <w:p w:rsidR="002C1467" w:rsidRPr="00EE3BCD" w:rsidRDefault="002C1467" w:rsidP="00EE3BCD">
      <w:pPr>
        <w:spacing w:before="100" w:beforeAutospacing="1" w:after="100" w:afterAutospacing="1" w:line="360" w:lineRule="auto"/>
        <w:jc w:val="both"/>
        <w:rPr>
          <w:rFonts w:ascii="Arial" w:hAnsi="Arial" w:cs="Arial"/>
          <w:color w:val="000000"/>
          <w:sz w:val="18"/>
          <w:szCs w:val="18"/>
        </w:rPr>
      </w:pPr>
      <w:r w:rsidRPr="002C30AD">
        <w:rPr>
          <w:rStyle w:val="Refdenotaalpie"/>
          <w:rFonts w:ascii="Arial" w:hAnsi="Arial" w:cs="Arial"/>
          <w:sz w:val="18"/>
          <w:szCs w:val="18"/>
        </w:rPr>
        <w:footnoteRef/>
      </w:r>
      <w:r w:rsidRPr="002C30AD">
        <w:rPr>
          <w:rFonts w:ascii="Arial" w:hAnsi="Arial" w:cs="Arial"/>
          <w:sz w:val="18"/>
          <w:szCs w:val="18"/>
        </w:rPr>
        <w:t xml:space="preserve"> </w:t>
      </w:r>
      <w:r w:rsidRPr="002C30AD">
        <w:rPr>
          <w:rFonts w:ascii="Arial" w:hAnsi="Arial" w:cs="Arial"/>
          <w:color w:val="000000"/>
          <w:sz w:val="18"/>
          <w:szCs w:val="18"/>
        </w:rPr>
        <w:t xml:space="preserve">Es importante destacar el posible sesgo de los resultados presentados. Como se señaló los casos policiales de VIF </w:t>
      </w:r>
      <w:r w:rsidRPr="002C30AD">
        <w:rPr>
          <w:rStyle w:val="Refdecomentario"/>
          <w:rFonts w:ascii="Arial" w:hAnsi="Arial" w:cs="Arial"/>
          <w:sz w:val="18"/>
          <w:szCs w:val="18"/>
        </w:rPr>
        <w:t/>
      </w:r>
      <w:r w:rsidRPr="002C30AD">
        <w:rPr>
          <w:rFonts w:ascii="Arial" w:hAnsi="Arial" w:cs="Arial"/>
          <w:color w:val="000000"/>
          <w:sz w:val="18"/>
          <w:szCs w:val="18"/>
        </w:rPr>
        <w:t xml:space="preserve">corresponden a la suma de denuncias más las detenciones en fragancia. En este contexto, si bien las denuncias pasan a ser tratadas en los juzgados respectivos, no necesariamente terminan en un veredicto donde se concluya que corresponde efectivamente a un caso de violencia. Por otro lado, es importante señalar la subdeclaración que podría tener la violencia psicológica. Esto implica que este tipo de violencia es mucho menos identificada y denunciada por parte de las victimas que la padecen. </w:t>
      </w:r>
      <w:r w:rsidRPr="002C30AD">
        <w:rPr>
          <w:color w:val="000000"/>
        </w:rPr>
        <w:t/>
      </w:r>
      <w:r w:rsidRPr="002C30AD">
        <w:rPr>
          <w:rFonts w:ascii="Arial" w:hAnsi="Arial" w:cs="Arial"/>
          <w:color w:val="000000"/>
          <w:sz w:val="18"/>
          <w:szCs w:val="18"/>
        </w:rPr>
        <w:t>Finalmente, destacar que existe el concepto de cifra negra, el cual corresponde a los casos que no son descubiertos o condenados por la justicia, por lo que no son considerados en las estadísticas de violencia.</w:t>
      </w:r>
    </w:p>
    <w:p w:rsidR="002C1467" w:rsidRPr="00EE3BCD" w:rsidRDefault="002C1467" w:rsidP="00EE3BCD">
      <w:pPr>
        <w:pStyle w:val="Textonotapie"/>
        <w:rPr>
          <w:lang w:val="es-MX"/>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hyphenationZone w:val="425"/>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jc3tzQ1NrUwNDIxN7FU0lEKTi0uzszPAykwqgUAMk09nywAAAA="/>
  </w:docVars>
  <w:rsids>
    <w:rsidRoot w:val="00215FD5"/>
    <w:rsid w:val="00073D38"/>
    <w:rsid w:val="00077E6A"/>
    <w:rsid w:val="000B339D"/>
    <w:rsid w:val="000C6EE6"/>
    <w:rsid w:val="000F4640"/>
    <w:rsid w:val="000F498C"/>
    <w:rsid w:val="00105465"/>
    <w:rsid w:val="00164CB5"/>
    <w:rsid w:val="00176ABA"/>
    <w:rsid w:val="001908AA"/>
    <w:rsid w:val="001D4F9F"/>
    <w:rsid w:val="001E1E23"/>
    <w:rsid w:val="001F652B"/>
    <w:rsid w:val="00206D4C"/>
    <w:rsid w:val="00215FD5"/>
    <w:rsid w:val="00264704"/>
    <w:rsid w:val="00282E7B"/>
    <w:rsid w:val="002913AD"/>
    <w:rsid w:val="002C1467"/>
    <w:rsid w:val="002C30AD"/>
    <w:rsid w:val="002C6929"/>
    <w:rsid w:val="002F5A20"/>
    <w:rsid w:val="003603EE"/>
    <w:rsid w:val="00363B8D"/>
    <w:rsid w:val="00373158"/>
    <w:rsid w:val="00387152"/>
    <w:rsid w:val="003C41D6"/>
    <w:rsid w:val="004316C0"/>
    <w:rsid w:val="00491C2D"/>
    <w:rsid w:val="004A131E"/>
    <w:rsid w:val="004A2DA0"/>
    <w:rsid w:val="004A3A5E"/>
    <w:rsid w:val="004C031D"/>
    <w:rsid w:val="004D4FB2"/>
    <w:rsid w:val="004D7C34"/>
    <w:rsid w:val="0051230A"/>
    <w:rsid w:val="00516A01"/>
    <w:rsid w:val="00532E37"/>
    <w:rsid w:val="005613FA"/>
    <w:rsid w:val="0056578E"/>
    <w:rsid w:val="005A1268"/>
    <w:rsid w:val="005E07D4"/>
    <w:rsid w:val="005F2BD8"/>
    <w:rsid w:val="005F54B0"/>
    <w:rsid w:val="00621793"/>
    <w:rsid w:val="00676B22"/>
    <w:rsid w:val="006874C7"/>
    <w:rsid w:val="00691C4F"/>
    <w:rsid w:val="006D60B9"/>
    <w:rsid w:val="00733E8A"/>
    <w:rsid w:val="00745B07"/>
    <w:rsid w:val="00767334"/>
    <w:rsid w:val="0087574C"/>
    <w:rsid w:val="00884AC5"/>
    <w:rsid w:val="00897865"/>
    <w:rsid w:val="008A1CB6"/>
    <w:rsid w:val="008A5FE3"/>
    <w:rsid w:val="008D68CA"/>
    <w:rsid w:val="008E4BAF"/>
    <w:rsid w:val="0090358F"/>
    <w:rsid w:val="00981034"/>
    <w:rsid w:val="00A0125E"/>
    <w:rsid w:val="00A265B5"/>
    <w:rsid w:val="00A67614"/>
    <w:rsid w:val="00AA2D48"/>
    <w:rsid w:val="00AB2C02"/>
    <w:rsid w:val="00AE307C"/>
    <w:rsid w:val="00B21111"/>
    <w:rsid w:val="00B40D43"/>
    <w:rsid w:val="00B41211"/>
    <w:rsid w:val="00B557E0"/>
    <w:rsid w:val="00B7418B"/>
    <w:rsid w:val="00BC28AC"/>
    <w:rsid w:val="00C07069"/>
    <w:rsid w:val="00C22D05"/>
    <w:rsid w:val="00C34943"/>
    <w:rsid w:val="00C51554"/>
    <w:rsid w:val="00C53E6C"/>
    <w:rsid w:val="00C83D9A"/>
    <w:rsid w:val="00D76A1E"/>
    <w:rsid w:val="00D822A5"/>
    <w:rsid w:val="00DC1B56"/>
    <w:rsid w:val="00DE0716"/>
    <w:rsid w:val="00E37264"/>
    <w:rsid w:val="00E7011F"/>
    <w:rsid w:val="00E8107E"/>
    <w:rsid w:val="00E861C4"/>
    <w:rsid w:val="00EB4109"/>
    <w:rsid w:val="00EB7293"/>
    <w:rsid w:val="00EC2D96"/>
    <w:rsid w:val="00ED39BD"/>
    <w:rsid w:val="00EE3BCD"/>
    <w:rsid w:val="00F11372"/>
    <w:rsid w:val="00F85F06"/>
    <w:rsid w:val="00FB2A4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3AD"/>
  </w:style>
  <w:style w:type="paragraph" w:styleId="Ttulo4">
    <w:name w:val="heading 4"/>
    <w:basedOn w:val="Normal"/>
    <w:link w:val="Ttulo4Car"/>
    <w:uiPriority w:val="9"/>
    <w:qFormat/>
    <w:rsid w:val="00B40D43"/>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215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215FD5"/>
    <w:rPr>
      <w:rFonts w:ascii="Courier New" w:eastAsia="Times New Roman" w:hAnsi="Courier New" w:cs="Courier New"/>
      <w:sz w:val="20"/>
      <w:szCs w:val="20"/>
      <w:lang w:eastAsia="es-CL"/>
    </w:rPr>
  </w:style>
  <w:style w:type="paragraph" w:styleId="Textodeglobo">
    <w:name w:val="Balloon Text"/>
    <w:basedOn w:val="Normal"/>
    <w:link w:val="TextodegloboCar"/>
    <w:uiPriority w:val="99"/>
    <w:semiHidden/>
    <w:unhideWhenUsed/>
    <w:rsid w:val="005F2B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2BD8"/>
    <w:rPr>
      <w:rFonts w:ascii="Tahoma" w:hAnsi="Tahoma" w:cs="Tahoma"/>
      <w:sz w:val="16"/>
      <w:szCs w:val="16"/>
    </w:rPr>
  </w:style>
  <w:style w:type="character" w:styleId="Refdecomentario">
    <w:name w:val="annotation reference"/>
    <w:basedOn w:val="Fuentedeprrafopredeter"/>
    <w:uiPriority w:val="99"/>
    <w:semiHidden/>
    <w:unhideWhenUsed/>
    <w:rsid w:val="005F2BD8"/>
    <w:rPr>
      <w:sz w:val="16"/>
      <w:szCs w:val="16"/>
    </w:rPr>
  </w:style>
  <w:style w:type="paragraph" w:styleId="Textocomentario">
    <w:name w:val="annotation text"/>
    <w:basedOn w:val="Normal"/>
    <w:link w:val="TextocomentarioCar"/>
    <w:uiPriority w:val="99"/>
    <w:unhideWhenUsed/>
    <w:rsid w:val="005F2BD8"/>
    <w:pPr>
      <w:spacing w:line="240" w:lineRule="auto"/>
    </w:pPr>
    <w:rPr>
      <w:sz w:val="20"/>
      <w:szCs w:val="20"/>
    </w:rPr>
  </w:style>
  <w:style w:type="character" w:customStyle="1" w:styleId="TextocomentarioCar">
    <w:name w:val="Texto comentario Car"/>
    <w:basedOn w:val="Fuentedeprrafopredeter"/>
    <w:link w:val="Textocomentario"/>
    <w:uiPriority w:val="99"/>
    <w:rsid w:val="005F2BD8"/>
    <w:rPr>
      <w:sz w:val="20"/>
      <w:szCs w:val="20"/>
    </w:rPr>
  </w:style>
  <w:style w:type="paragraph" w:styleId="Asuntodelcomentario">
    <w:name w:val="annotation subject"/>
    <w:basedOn w:val="Textocomentario"/>
    <w:next w:val="Textocomentario"/>
    <w:link w:val="AsuntodelcomentarioCar"/>
    <w:uiPriority w:val="99"/>
    <w:semiHidden/>
    <w:unhideWhenUsed/>
    <w:rsid w:val="005F2BD8"/>
    <w:rPr>
      <w:b/>
      <w:bCs/>
    </w:rPr>
  </w:style>
  <w:style w:type="character" w:customStyle="1" w:styleId="AsuntodelcomentarioCar">
    <w:name w:val="Asunto del comentario Car"/>
    <w:basedOn w:val="TextocomentarioCar"/>
    <w:link w:val="Asuntodelcomentario"/>
    <w:uiPriority w:val="99"/>
    <w:semiHidden/>
    <w:rsid w:val="005F2BD8"/>
    <w:rPr>
      <w:b/>
      <w:bCs/>
      <w:sz w:val="20"/>
      <w:szCs w:val="20"/>
    </w:rPr>
  </w:style>
  <w:style w:type="paragraph" w:styleId="Textonotapie">
    <w:name w:val="footnote text"/>
    <w:basedOn w:val="Normal"/>
    <w:link w:val="TextonotapieCar"/>
    <w:uiPriority w:val="99"/>
    <w:semiHidden/>
    <w:unhideWhenUsed/>
    <w:rsid w:val="00E810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8107E"/>
    <w:rPr>
      <w:sz w:val="20"/>
      <w:szCs w:val="20"/>
    </w:rPr>
  </w:style>
  <w:style w:type="character" w:styleId="Refdenotaalpie">
    <w:name w:val="footnote reference"/>
    <w:basedOn w:val="Fuentedeprrafopredeter"/>
    <w:uiPriority w:val="99"/>
    <w:semiHidden/>
    <w:unhideWhenUsed/>
    <w:rsid w:val="00E8107E"/>
    <w:rPr>
      <w:vertAlign w:val="superscript"/>
    </w:rPr>
  </w:style>
  <w:style w:type="character" w:styleId="Hipervnculo">
    <w:name w:val="Hyperlink"/>
    <w:basedOn w:val="Fuentedeprrafopredeter"/>
    <w:uiPriority w:val="99"/>
    <w:unhideWhenUsed/>
    <w:rsid w:val="00E8107E"/>
    <w:rPr>
      <w:color w:val="0563C1" w:themeColor="hyperlink"/>
      <w:u w:val="single"/>
    </w:rPr>
  </w:style>
  <w:style w:type="character" w:styleId="Hipervnculovisitado">
    <w:name w:val="FollowedHyperlink"/>
    <w:basedOn w:val="Fuentedeprrafopredeter"/>
    <w:uiPriority w:val="99"/>
    <w:semiHidden/>
    <w:unhideWhenUsed/>
    <w:rsid w:val="000F498C"/>
    <w:rPr>
      <w:color w:val="954F72" w:themeColor="followedHyperlink"/>
      <w:u w:val="single"/>
    </w:rPr>
  </w:style>
  <w:style w:type="character" w:customStyle="1" w:styleId="Ttulo4Car">
    <w:name w:val="Título 4 Car"/>
    <w:basedOn w:val="Fuentedeprrafopredeter"/>
    <w:link w:val="Ttulo4"/>
    <w:uiPriority w:val="9"/>
    <w:rsid w:val="00B40D43"/>
    <w:rPr>
      <w:rFonts w:ascii="Times New Roman" w:eastAsia="Times New Roman" w:hAnsi="Times New Roman" w:cs="Times New Roman"/>
      <w:b/>
      <w:bCs/>
      <w:sz w:val="24"/>
      <w:szCs w:val="24"/>
      <w:lang w:eastAsia="es-CL"/>
    </w:rPr>
  </w:style>
  <w:style w:type="character" w:styleId="Textoennegrita">
    <w:name w:val="Strong"/>
    <w:basedOn w:val="Fuentedeprrafopredeter"/>
    <w:uiPriority w:val="22"/>
    <w:qFormat/>
    <w:rsid w:val="00073D38"/>
    <w:rPr>
      <w:b/>
      <w:bCs/>
    </w:rPr>
  </w:style>
  <w:style w:type="paragraph" w:styleId="Sinespaciado">
    <w:name w:val="No Spacing"/>
    <w:uiPriority w:val="1"/>
    <w:qFormat/>
    <w:rsid w:val="008A5FE3"/>
    <w:pPr>
      <w:spacing w:after="0" w:line="240" w:lineRule="auto"/>
    </w:pPr>
  </w:style>
</w:styles>
</file>

<file path=word/webSettings.xml><?xml version="1.0" encoding="utf-8"?>
<w:webSettings xmlns:r="http://schemas.openxmlformats.org/officeDocument/2006/relationships" xmlns:w="http://schemas.openxmlformats.org/wordprocessingml/2006/main">
  <w:divs>
    <w:div w:id="155347970">
      <w:bodyDiv w:val="1"/>
      <w:marLeft w:val="0"/>
      <w:marRight w:val="0"/>
      <w:marTop w:val="0"/>
      <w:marBottom w:val="0"/>
      <w:divBdr>
        <w:top w:val="none" w:sz="0" w:space="0" w:color="auto"/>
        <w:left w:val="none" w:sz="0" w:space="0" w:color="auto"/>
        <w:bottom w:val="none" w:sz="0" w:space="0" w:color="auto"/>
        <w:right w:val="none" w:sz="0" w:space="0" w:color="auto"/>
      </w:divBdr>
    </w:div>
    <w:div w:id="187262038">
      <w:bodyDiv w:val="1"/>
      <w:marLeft w:val="0"/>
      <w:marRight w:val="0"/>
      <w:marTop w:val="0"/>
      <w:marBottom w:val="0"/>
      <w:divBdr>
        <w:top w:val="none" w:sz="0" w:space="0" w:color="auto"/>
        <w:left w:val="none" w:sz="0" w:space="0" w:color="auto"/>
        <w:bottom w:val="none" w:sz="0" w:space="0" w:color="auto"/>
        <w:right w:val="none" w:sz="0" w:space="0" w:color="auto"/>
      </w:divBdr>
    </w:div>
    <w:div w:id="209850393">
      <w:bodyDiv w:val="1"/>
      <w:marLeft w:val="0"/>
      <w:marRight w:val="0"/>
      <w:marTop w:val="0"/>
      <w:marBottom w:val="0"/>
      <w:divBdr>
        <w:top w:val="none" w:sz="0" w:space="0" w:color="auto"/>
        <w:left w:val="none" w:sz="0" w:space="0" w:color="auto"/>
        <w:bottom w:val="none" w:sz="0" w:space="0" w:color="auto"/>
        <w:right w:val="none" w:sz="0" w:space="0" w:color="auto"/>
      </w:divBdr>
    </w:div>
    <w:div w:id="454176410">
      <w:bodyDiv w:val="1"/>
      <w:marLeft w:val="0"/>
      <w:marRight w:val="0"/>
      <w:marTop w:val="0"/>
      <w:marBottom w:val="0"/>
      <w:divBdr>
        <w:top w:val="none" w:sz="0" w:space="0" w:color="auto"/>
        <w:left w:val="none" w:sz="0" w:space="0" w:color="auto"/>
        <w:bottom w:val="none" w:sz="0" w:space="0" w:color="auto"/>
        <w:right w:val="none" w:sz="0" w:space="0" w:color="auto"/>
      </w:divBdr>
    </w:div>
    <w:div w:id="593516179">
      <w:bodyDiv w:val="1"/>
      <w:marLeft w:val="0"/>
      <w:marRight w:val="0"/>
      <w:marTop w:val="0"/>
      <w:marBottom w:val="0"/>
      <w:divBdr>
        <w:top w:val="none" w:sz="0" w:space="0" w:color="auto"/>
        <w:left w:val="none" w:sz="0" w:space="0" w:color="auto"/>
        <w:bottom w:val="none" w:sz="0" w:space="0" w:color="auto"/>
        <w:right w:val="none" w:sz="0" w:space="0" w:color="auto"/>
      </w:divBdr>
    </w:div>
    <w:div w:id="991298903">
      <w:bodyDiv w:val="1"/>
      <w:marLeft w:val="0"/>
      <w:marRight w:val="0"/>
      <w:marTop w:val="0"/>
      <w:marBottom w:val="0"/>
      <w:divBdr>
        <w:top w:val="none" w:sz="0" w:space="0" w:color="auto"/>
        <w:left w:val="none" w:sz="0" w:space="0" w:color="auto"/>
        <w:bottom w:val="none" w:sz="0" w:space="0" w:color="auto"/>
        <w:right w:val="none" w:sz="0" w:space="0" w:color="auto"/>
      </w:divBdr>
    </w:div>
    <w:div w:id="1311402147">
      <w:bodyDiv w:val="1"/>
      <w:marLeft w:val="0"/>
      <w:marRight w:val="0"/>
      <w:marTop w:val="0"/>
      <w:marBottom w:val="0"/>
      <w:divBdr>
        <w:top w:val="none" w:sz="0" w:space="0" w:color="auto"/>
        <w:left w:val="none" w:sz="0" w:space="0" w:color="auto"/>
        <w:bottom w:val="none" w:sz="0" w:space="0" w:color="auto"/>
        <w:right w:val="none" w:sz="0" w:space="0" w:color="auto"/>
      </w:divBdr>
    </w:div>
    <w:div w:id="1454253195">
      <w:bodyDiv w:val="1"/>
      <w:marLeft w:val="0"/>
      <w:marRight w:val="0"/>
      <w:marTop w:val="0"/>
      <w:marBottom w:val="0"/>
      <w:divBdr>
        <w:top w:val="none" w:sz="0" w:space="0" w:color="auto"/>
        <w:left w:val="none" w:sz="0" w:space="0" w:color="auto"/>
        <w:bottom w:val="none" w:sz="0" w:space="0" w:color="auto"/>
        <w:right w:val="none" w:sz="0" w:space="0" w:color="auto"/>
      </w:divBdr>
    </w:div>
    <w:div w:id="1493637884">
      <w:bodyDiv w:val="1"/>
      <w:marLeft w:val="0"/>
      <w:marRight w:val="0"/>
      <w:marTop w:val="0"/>
      <w:marBottom w:val="0"/>
      <w:divBdr>
        <w:top w:val="none" w:sz="0" w:space="0" w:color="auto"/>
        <w:left w:val="none" w:sz="0" w:space="0" w:color="auto"/>
        <w:bottom w:val="none" w:sz="0" w:space="0" w:color="auto"/>
        <w:right w:val="none" w:sz="0" w:space="0" w:color="auto"/>
      </w:divBdr>
    </w:div>
    <w:div w:id="1573001399">
      <w:bodyDiv w:val="1"/>
      <w:marLeft w:val="0"/>
      <w:marRight w:val="0"/>
      <w:marTop w:val="0"/>
      <w:marBottom w:val="0"/>
      <w:divBdr>
        <w:top w:val="none" w:sz="0" w:space="0" w:color="auto"/>
        <w:left w:val="none" w:sz="0" w:space="0" w:color="auto"/>
        <w:bottom w:val="none" w:sz="0" w:space="0" w:color="auto"/>
        <w:right w:val="none" w:sz="0" w:space="0" w:color="auto"/>
      </w:divBdr>
    </w:div>
    <w:div w:id="1692949060">
      <w:bodyDiv w:val="1"/>
      <w:marLeft w:val="0"/>
      <w:marRight w:val="0"/>
      <w:marTop w:val="0"/>
      <w:marBottom w:val="0"/>
      <w:divBdr>
        <w:top w:val="none" w:sz="0" w:space="0" w:color="auto"/>
        <w:left w:val="none" w:sz="0" w:space="0" w:color="auto"/>
        <w:bottom w:val="none" w:sz="0" w:space="0" w:color="auto"/>
        <w:right w:val="none" w:sz="0" w:space="0" w:color="auto"/>
      </w:divBdr>
    </w:div>
    <w:div w:id="1698308773">
      <w:bodyDiv w:val="1"/>
      <w:marLeft w:val="0"/>
      <w:marRight w:val="0"/>
      <w:marTop w:val="0"/>
      <w:marBottom w:val="0"/>
      <w:divBdr>
        <w:top w:val="none" w:sz="0" w:space="0" w:color="auto"/>
        <w:left w:val="none" w:sz="0" w:space="0" w:color="auto"/>
        <w:bottom w:val="none" w:sz="0" w:space="0" w:color="auto"/>
        <w:right w:val="none" w:sz="0" w:space="0" w:color="auto"/>
      </w:divBdr>
    </w:div>
    <w:div w:id="1969512053">
      <w:bodyDiv w:val="1"/>
      <w:marLeft w:val="0"/>
      <w:marRight w:val="0"/>
      <w:marTop w:val="0"/>
      <w:marBottom w:val="0"/>
      <w:divBdr>
        <w:top w:val="none" w:sz="0" w:space="0" w:color="auto"/>
        <w:left w:val="none" w:sz="0" w:space="0" w:color="auto"/>
        <w:bottom w:val="none" w:sz="0" w:space="0" w:color="auto"/>
        <w:right w:val="none" w:sz="0" w:space="0" w:color="auto"/>
      </w:divBdr>
    </w:div>
    <w:div w:id="2102945181">
      <w:bodyDiv w:val="1"/>
      <w:marLeft w:val="0"/>
      <w:marRight w:val="0"/>
      <w:marTop w:val="0"/>
      <w:marBottom w:val="0"/>
      <w:divBdr>
        <w:top w:val="none" w:sz="0" w:space="0" w:color="auto"/>
        <w:left w:val="none" w:sz="0" w:space="0" w:color="auto"/>
        <w:bottom w:val="none" w:sz="0" w:space="0" w:color="auto"/>
        <w:right w:val="none" w:sz="0" w:space="0" w:color="auto"/>
      </w:divBdr>
    </w:div>
    <w:div w:id="212988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sernameg.gob.cl/" TargetMode="Externa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D15633F-4FD5-472B-AE36-967E1A77B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2654</Words>
  <Characters>15131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Inc.</dc:creator>
  <cp:lastModifiedBy>Juan</cp:lastModifiedBy>
  <cp:revision>2</cp:revision>
  <dcterms:created xsi:type="dcterms:W3CDTF">2020-03-06T17:31:00Z</dcterms:created>
  <dcterms:modified xsi:type="dcterms:W3CDTF">2020-03-06T17:31:00Z</dcterms:modified>
</cp:coreProperties>
</file>