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BF" w:rsidRDefault="00790BBF" w:rsidP="002C0A76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ES_tradnl"/>
        </w:rPr>
      </w:pPr>
      <w:r>
        <w:rPr>
          <w:rFonts w:ascii="Century Gothic" w:eastAsia="Times New Roman" w:hAnsi="Century Gothic" w:cs="Arial"/>
          <w:b/>
          <w:bCs/>
          <w:noProof/>
          <w:color w:val="000000"/>
          <w:sz w:val="28"/>
          <w:szCs w:val="28"/>
          <w:lang w:eastAsia="es-ES_tradnl"/>
        </w:rPr>
        <w:drawing>
          <wp:inline distT="0" distB="0" distL="0" distR="0">
            <wp:extent cx="1095153" cy="125267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uevo_colmed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98" cy="1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BBF" w:rsidRPr="00790BBF" w:rsidRDefault="00790BBF" w:rsidP="00790BBF">
      <w:pPr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lang w:eastAsia="es-ES_tradnl"/>
        </w:rPr>
      </w:pPr>
      <w:r w:rsidRPr="00790BBF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ES_tradnl"/>
        </w:rPr>
        <w:t>Catastro de denuncias por agresiones recibidas por el Dpto. de DD.HH. del Colegio Médico de Chile</w:t>
      </w:r>
    </w:p>
    <w:p w:rsidR="00790BBF" w:rsidRPr="00790BBF" w:rsidRDefault="00790BBF" w:rsidP="00790BBF">
      <w:pPr>
        <w:rPr>
          <w:rFonts w:ascii="Century Gothic" w:eastAsia="Times New Roman" w:hAnsi="Century Gothic" w:cs="Times New Roman"/>
          <w:color w:val="000000"/>
          <w:lang w:eastAsia="es-ES_tradnl"/>
        </w:rPr>
      </w:pP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A través de nuestro Departamento de Derechos Humanos, hemos recibido una gran cantidad de denuncias de personas que relatan haber sufrido lesiones producto del impacto de proyectiles y bombas lacrimógenas, en el marco de las manifestaciones registradas desde ayer.</w:t>
      </w:r>
    </w:p>
    <w:p w:rsidR="00790BBF" w:rsidRPr="00790BBF" w:rsidRDefault="00790BBF" w:rsidP="00790BBF">
      <w:pPr>
        <w:rPr>
          <w:rFonts w:ascii="Century Gothic" w:eastAsia="Times New Roman" w:hAnsi="Century Gothic" w:cs="Times New Roman"/>
          <w:color w:val="000000"/>
          <w:lang w:eastAsia="es-ES_tradnl"/>
        </w:rPr>
      </w:pP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Hasta el momento, hemos podido confirmar los siguientes casos:</w:t>
      </w: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 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5 personas que han sufrido lesiones oculares graves que deberán ser operados.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2 hermanos</w:t>
      </w:r>
      <w:r>
        <w:rPr>
          <w:rFonts w:ascii="Century Gothic" w:eastAsia="Times New Roman" w:hAnsi="Century Gothic" w:cs="Arial"/>
          <w:color w:val="000000"/>
          <w:lang w:eastAsia="es-ES_tradnl"/>
        </w:rPr>
        <w:t>,</w:t>
      </w:r>
      <w:r w:rsidRPr="002C0A76">
        <w:rPr>
          <w:rFonts w:ascii="Century Gothic" w:eastAsia="Times New Roman" w:hAnsi="Century Gothic" w:cs="Arial"/>
          <w:color w:val="000000"/>
          <w:lang w:eastAsia="es-ES_tradnl"/>
        </w:rPr>
        <w:t xml:space="preserve"> una de 9 y otro de 10 años,</w:t>
      </w:r>
      <w:r>
        <w:rPr>
          <w:rFonts w:ascii="Century Gothic" w:eastAsia="Times New Roman" w:hAnsi="Century Gothic" w:cs="Arial"/>
          <w:color w:val="000000"/>
          <w:lang w:eastAsia="es-ES_tradnl"/>
        </w:rPr>
        <w:t xml:space="preserve"> fueron</w:t>
      </w:r>
      <w:r w:rsidRPr="002C0A76">
        <w:rPr>
          <w:rFonts w:ascii="Century Gothic" w:eastAsia="Times New Roman" w:hAnsi="Century Gothic" w:cs="Arial"/>
          <w:color w:val="000000"/>
          <w:lang w:eastAsia="es-ES_tradnl"/>
        </w:rPr>
        <w:t xml:space="preserve"> heridos por producto del mismo proyectil, el mayor será sometido a cirugía por un hemo-neumo torax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2 varones adultos heridos por arma de fuego facial y cervical operados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1 persona joven con una lesión vascular grave en su muslo que requiere cirugía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1 persona con fractura mandibular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 xml:space="preserve">1 niño de 14 años con herida abdominal por proyectil, que requirió cirugía de urgencia 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1 persona con TEC grave</w:t>
      </w:r>
    </w:p>
    <w:p w:rsidR="002C0A76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1 persona con una herida por arma de fuego en la rodilla</w:t>
      </w:r>
    </w:p>
    <w:p w:rsidR="00790BBF" w:rsidRPr="002C0A76" w:rsidRDefault="002C0A76" w:rsidP="002C0A76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Arial"/>
          <w:color w:val="000000"/>
          <w:lang w:eastAsia="es-ES_tradnl"/>
        </w:rPr>
      </w:pPr>
      <w:r w:rsidRPr="002C0A76">
        <w:rPr>
          <w:rFonts w:ascii="Century Gothic" w:eastAsia="Times New Roman" w:hAnsi="Century Gothic" w:cs="Arial"/>
          <w:color w:val="000000"/>
          <w:lang w:eastAsia="es-ES_tradnl"/>
        </w:rPr>
        <w:t>Decenas de casos de personas con impacto de balines en su cuerpo</w:t>
      </w:r>
    </w:p>
    <w:p w:rsidR="002C0A76" w:rsidRPr="00790BBF" w:rsidRDefault="002C0A76" w:rsidP="002C0A76">
      <w:pPr>
        <w:rPr>
          <w:rFonts w:ascii="Century Gothic" w:eastAsia="Times New Roman" w:hAnsi="Century Gothic" w:cs="Times New Roman"/>
          <w:color w:val="000000"/>
          <w:lang w:eastAsia="es-ES_tradnl"/>
        </w:rPr>
      </w:pP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A estos se suman múltiples casos de personas con impacto de balines en su cuerpo.</w:t>
      </w: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 </w:t>
      </w: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Asimismo, de acuerdo a informaciones oficiales, un gran número de funcionarios de Carabineros resultaron lesionados, cinco de ellos graves.</w:t>
      </w:r>
    </w:p>
    <w:p w:rsidR="00790BBF" w:rsidRPr="00790BBF" w:rsidRDefault="00790BBF" w:rsidP="00790BBF">
      <w:pPr>
        <w:rPr>
          <w:rFonts w:ascii="Century Gothic" w:eastAsia="Times New Roman" w:hAnsi="Century Gothic" w:cs="Times New Roman"/>
          <w:color w:val="000000"/>
          <w:lang w:eastAsia="es-ES_tradnl"/>
        </w:rPr>
      </w:pP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Queremos manifestar nuestra preocupación ante estos casos, que son solo una pequeña muestra de lo ocurrido en el país y que podrían aumentar en los próximos días.</w:t>
      </w:r>
    </w:p>
    <w:p w:rsidR="00790BBF" w:rsidRPr="00790BBF" w:rsidRDefault="00790BBF" w:rsidP="00790BBF">
      <w:pPr>
        <w:jc w:val="both"/>
        <w:rPr>
          <w:rFonts w:ascii="Century Gothic" w:eastAsia="Times New Roman" w:hAnsi="Century Gothic" w:cs="Times New Roman"/>
          <w:color w:val="000000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 </w:t>
      </w:r>
    </w:p>
    <w:p w:rsidR="00D86811" w:rsidRPr="00790BBF" w:rsidRDefault="00790BBF" w:rsidP="002C0A76">
      <w:pPr>
        <w:jc w:val="both"/>
        <w:rPr>
          <w:rFonts w:ascii="Century Gothic" w:eastAsia="Times New Roman" w:hAnsi="Century Gothic" w:cs="Times New Roman"/>
          <w:lang w:eastAsia="es-ES_tradnl"/>
        </w:rPr>
      </w:pPr>
      <w:r w:rsidRPr="00790BBF">
        <w:rPr>
          <w:rFonts w:ascii="Century Gothic" w:eastAsia="Times New Roman" w:hAnsi="Century Gothic" w:cs="Arial"/>
          <w:color w:val="000000"/>
          <w:lang w:eastAsia="es-ES_tradnl"/>
        </w:rPr>
        <w:t>Hacemos un llamado a las autoridades</w:t>
      </w:r>
      <w:r>
        <w:rPr>
          <w:rFonts w:ascii="Century Gothic" w:eastAsia="Times New Roman" w:hAnsi="Century Gothic" w:cs="Arial"/>
          <w:color w:val="000000"/>
          <w:lang w:eastAsia="es-ES_tradnl"/>
        </w:rPr>
        <w:t xml:space="preserve"> </w:t>
      </w:r>
      <w:r w:rsidRPr="00790BBF">
        <w:rPr>
          <w:rFonts w:ascii="Century Gothic" w:eastAsia="Times New Roman" w:hAnsi="Century Gothic" w:cs="Arial"/>
          <w:color w:val="000000"/>
          <w:lang w:eastAsia="es-ES_tradnl"/>
        </w:rPr>
        <w:t>a resguardar la integridad y seguridad de las personas</w:t>
      </w:r>
      <w:r>
        <w:rPr>
          <w:rFonts w:ascii="Century Gothic" w:eastAsia="Times New Roman" w:hAnsi="Century Gothic" w:cs="Arial"/>
          <w:color w:val="000000"/>
          <w:lang w:eastAsia="es-ES_tradnl"/>
        </w:rPr>
        <w:t>, junto con</w:t>
      </w:r>
      <w:r w:rsidRPr="00790BBF">
        <w:rPr>
          <w:rFonts w:ascii="Century Gothic" w:eastAsia="Times New Roman" w:hAnsi="Century Gothic" w:cs="Arial"/>
          <w:color w:val="000000"/>
          <w:lang w:eastAsia="es-ES_tradnl"/>
        </w:rPr>
        <w:t xml:space="preserve"> tomar todas las medidas necesarias para evitar nuevos casos como los denunciados y a respetar los protocolos y los compromisos con los derechos humanos suscritos por Chile, que incluyen orientaciones sobre el manejo adecuado de elementos disuasivos en manifestaciones públicas, procurando considerar, en primer lugar, la vida y la salud de las personas.</w:t>
      </w:r>
      <w:bookmarkStart w:id="0" w:name="_GoBack"/>
      <w:bookmarkEnd w:id="0"/>
    </w:p>
    <w:sectPr w:rsidR="00D86811" w:rsidRPr="00790BBF" w:rsidSect="002C0A76">
      <w:pgSz w:w="12240" w:h="15840"/>
      <w:pgMar w:top="857" w:right="1183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6F36"/>
    <w:multiLevelType w:val="hybridMultilevel"/>
    <w:tmpl w:val="572E0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BF"/>
    <w:rsid w:val="002C0A76"/>
    <w:rsid w:val="005F38E6"/>
    <w:rsid w:val="00790BBF"/>
    <w:rsid w:val="009E0B31"/>
    <w:rsid w:val="00B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2D3494"/>
  <w15:chartTrackingRefBased/>
  <w15:docId w15:val="{F24A5290-22CC-EB4A-BC41-EBB87BB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2C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2019-10-20T20:09:00Z</dcterms:created>
  <dcterms:modified xsi:type="dcterms:W3CDTF">2019-10-21T00:13:00Z</dcterms:modified>
</cp:coreProperties>
</file>